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821" w:rsidRDefault="00F43BB9" w:rsidP="00F43BB9">
      <w:pPr>
        <w:shd w:val="clear" w:color="auto" w:fill="FFFFFF"/>
        <w:tabs>
          <w:tab w:val="left" w:leader="underscore" w:pos="1579"/>
        </w:tabs>
        <w:spacing w:after="0" w:line="240" w:lineRule="auto"/>
        <w:ind w:left="15" w:hanging="30"/>
        <w:jc w:val="right"/>
        <w:rPr>
          <w:rFonts w:ascii="Times New Roman" w:hAnsi="Times New Roman" w:cs="Times New Roman"/>
          <w:b/>
          <w:color w:val="000000"/>
          <w:sz w:val="28"/>
          <w:szCs w:val="28"/>
        </w:rPr>
      </w:pPr>
      <w:r>
        <w:rPr>
          <w:rFonts w:ascii="Times New Roman" w:hAnsi="Times New Roman" w:cs="Times New Roman"/>
          <w:b/>
          <w:noProof/>
          <w:color w:val="000000"/>
          <w:sz w:val="28"/>
          <w:szCs w:val="28"/>
        </w:rPr>
        <w:t>ПРОЕКТ</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b/>
          <w:color w:val="000000"/>
          <w:sz w:val="28"/>
          <w:szCs w:val="28"/>
        </w:rPr>
        <w:t>Собрание</w:t>
      </w:r>
      <w:r w:rsidRPr="002D6A97">
        <w:rPr>
          <w:rFonts w:ascii="Times New Roman" w:hAnsi="Times New Roman" w:cs="Times New Roman"/>
          <w:color w:val="000000"/>
          <w:sz w:val="28"/>
          <w:szCs w:val="28"/>
        </w:rPr>
        <w:t xml:space="preserve"> </w:t>
      </w:r>
      <w:r w:rsidRPr="002D6A97">
        <w:rPr>
          <w:rFonts w:ascii="Times New Roman" w:hAnsi="Times New Roman" w:cs="Times New Roman"/>
          <w:b/>
          <w:color w:val="000000"/>
          <w:sz w:val="28"/>
          <w:szCs w:val="28"/>
        </w:rPr>
        <w:t>депутатов Новоржевского муниципального округа</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r w:rsidRPr="002D6A97">
        <w:rPr>
          <w:rFonts w:ascii="Times New Roman" w:hAnsi="Times New Roman" w:cs="Times New Roman"/>
          <w:color w:val="000000"/>
          <w:sz w:val="28"/>
          <w:szCs w:val="28"/>
        </w:rPr>
        <w:t>______________________________________________________________</w:t>
      </w: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color w:val="000000"/>
          <w:sz w:val="28"/>
          <w:szCs w:val="28"/>
        </w:rPr>
      </w:pPr>
    </w:p>
    <w:p w:rsidR="002D6A97" w:rsidRPr="002D6A97" w:rsidRDefault="002D6A97" w:rsidP="002D6A97">
      <w:pPr>
        <w:shd w:val="clear" w:color="auto" w:fill="FFFFFF"/>
        <w:tabs>
          <w:tab w:val="left" w:leader="underscore" w:pos="1579"/>
        </w:tabs>
        <w:spacing w:after="0" w:line="240" w:lineRule="auto"/>
        <w:ind w:left="15" w:hanging="30"/>
        <w:jc w:val="center"/>
        <w:rPr>
          <w:rFonts w:ascii="Times New Roman" w:hAnsi="Times New Roman" w:cs="Times New Roman"/>
          <w:b/>
          <w:color w:val="000000"/>
          <w:sz w:val="28"/>
          <w:szCs w:val="28"/>
        </w:rPr>
      </w:pPr>
      <w:r w:rsidRPr="002D6A97">
        <w:rPr>
          <w:rFonts w:ascii="Times New Roman" w:hAnsi="Times New Roman" w:cs="Times New Roman"/>
          <w:b/>
          <w:color w:val="000000"/>
          <w:sz w:val="28"/>
          <w:szCs w:val="28"/>
        </w:rPr>
        <w:t>РЕШЕНИЕ №</w:t>
      </w:r>
      <w:r w:rsidR="00F35821">
        <w:rPr>
          <w:rFonts w:ascii="Times New Roman" w:hAnsi="Times New Roman" w:cs="Times New Roman"/>
          <w:b/>
          <w:color w:val="000000"/>
          <w:sz w:val="28"/>
          <w:szCs w:val="28"/>
        </w:rPr>
        <w:t xml:space="preserve"> </w:t>
      </w:r>
    </w:p>
    <w:p w:rsidR="002D6A97" w:rsidRPr="002D6A97" w:rsidRDefault="002D6A97" w:rsidP="002D6A97">
      <w:pPr>
        <w:shd w:val="clear" w:color="auto" w:fill="FFFFFF"/>
        <w:tabs>
          <w:tab w:val="left" w:leader="underscore" w:pos="1579"/>
        </w:tabs>
        <w:spacing w:after="0" w:line="240" w:lineRule="auto"/>
        <w:ind w:left="15" w:hanging="30"/>
        <w:jc w:val="both"/>
        <w:rPr>
          <w:rFonts w:ascii="Times New Roman" w:hAnsi="Times New Roman" w:cs="Times New Roman"/>
          <w:b/>
          <w:color w:val="000000"/>
          <w:sz w:val="28"/>
          <w:szCs w:val="28"/>
        </w:rPr>
      </w:pPr>
    </w:p>
    <w:p w:rsidR="002D6A97" w:rsidRPr="00406F39"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406F39">
        <w:rPr>
          <w:rFonts w:ascii="Times New Roman" w:hAnsi="Times New Roman" w:cs="Times New Roman"/>
          <w:bCs/>
          <w:color w:val="000000"/>
          <w:sz w:val="28"/>
          <w:szCs w:val="28"/>
        </w:rPr>
        <w:t xml:space="preserve">    от </w:t>
      </w:r>
      <w:r w:rsidR="00F43BB9" w:rsidRPr="00406F39">
        <w:rPr>
          <w:rFonts w:ascii="Times New Roman" w:hAnsi="Times New Roman" w:cs="Times New Roman"/>
          <w:bCs/>
          <w:color w:val="000000"/>
          <w:sz w:val="28"/>
          <w:szCs w:val="28"/>
        </w:rPr>
        <w:t>…..</w:t>
      </w:r>
      <w:r w:rsidRPr="00406F39">
        <w:rPr>
          <w:rFonts w:ascii="Times New Roman" w:hAnsi="Times New Roman" w:cs="Times New Roman"/>
          <w:bCs/>
          <w:color w:val="000000"/>
          <w:sz w:val="28"/>
          <w:szCs w:val="28"/>
        </w:rPr>
        <w:t xml:space="preserve"> 2025 года</w:t>
      </w:r>
    </w:p>
    <w:p w:rsidR="002D6A97" w:rsidRPr="00406F39"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406F39">
        <w:rPr>
          <w:rFonts w:ascii="Times New Roman" w:hAnsi="Times New Roman" w:cs="Times New Roman"/>
          <w:bCs/>
          <w:color w:val="000000"/>
          <w:sz w:val="28"/>
          <w:szCs w:val="28"/>
        </w:rPr>
        <w:t xml:space="preserve">(принято на </w:t>
      </w:r>
      <w:r w:rsidR="00F43BB9" w:rsidRPr="00406F39">
        <w:rPr>
          <w:rFonts w:ascii="Times New Roman" w:hAnsi="Times New Roman" w:cs="Times New Roman"/>
          <w:bCs/>
          <w:color w:val="000000"/>
          <w:sz w:val="28"/>
          <w:szCs w:val="28"/>
        </w:rPr>
        <w:t>…</w:t>
      </w:r>
      <w:r w:rsidR="00F35821" w:rsidRPr="00406F39">
        <w:rPr>
          <w:rFonts w:ascii="Times New Roman" w:hAnsi="Times New Roman" w:cs="Times New Roman"/>
          <w:bCs/>
          <w:color w:val="000000"/>
          <w:sz w:val="28"/>
          <w:szCs w:val="28"/>
        </w:rPr>
        <w:t xml:space="preserve"> </w:t>
      </w:r>
      <w:r w:rsidRPr="00406F39">
        <w:rPr>
          <w:rFonts w:ascii="Times New Roman" w:hAnsi="Times New Roman" w:cs="Times New Roman"/>
          <w:bCs/>
          <w:color w:val="000000"/>
          <w:sz w:val="28"/>
          <w:szCs w:val="28"/>
        </w:rPr>
        <w:t xml:space="preserve">очередной сессии </w:t>
      </w:r>
    </w:p>
    <w:p w:rsidR="002D6A97" w:rsidRPr="00406F39" w:rsidRDefault="002D6A97" w:rsidP="002D6A97">
      <w:pPr>
        <w:shd w:val="clear" w:color="auto" w:fill="FFFFFF"/>
        <w:tabs>
          <w:tab w:val="left" w:leader="underscore" w:pos="1579"/>
        </w:tabs>
        <w:spacing w:after="0" w:line="240" w:lineRule="auto"/>
        <w:ind w:left="15" w:hanging="30"/>
        <w:rPr>
          <w:rFonts w:ascii="Times New Roman" w:hAnsi="Times New Roman" w:cs="Times New Roman"/>
          <w:bCs/>
          <w:color w:val="000000"/>
          <w:sz w:val="28"/>
          <w:szCs w:val="28"/>
        </w:rPr>
      </w:pPr>
      <w:r w:rsidRPr="00406F39">
        <w:rPr>
          <w:rFonts w:ascii="Times New Roman" w:hAnsi="Times New Roman" w:cs="Times New Roman"/>
          <w:bCs/>
          <w:color w:val="000000"/>
          <w:sz w:val="28"/>
          <w:szCs w:val="28"/>
        </w:rPr>
        <w:t xml:space="preserve">           первого созыва)</w:t>
      </w:r>
    </w:p>
    <w:p w:rsidR="002D6A97" w:rsidRPr="00406F39" w:rsidRDefault="002D6A97" w:rsidP="002D6A97">
      <w:pPr>
        <w:shd w:val="clear" w:color="auto" w:fill="FFFFFF"/>
        <w:tabs>
          <w:tab w:val="left" w:leader="underscore" w:pos="1579"/>
        </w:tabs>
        <w:spacing w:after="0" w:line="240" w:lineRule="auto"/>
        <w:ind w:left="15" w:hanging="30"/>
        <w:rPr>
          <w:rFonts w:ascii="Times New Roman" w:hAnsi="Times New Roman" w:cs="Times New Roman"/>
          <w:color w:val="000000"/>
          <w:sz w:val="28"/>
          <w:szCs w:val="28"/>
        </w:rPr>
      </w:pPr>
      <w:r w:rsidRPr="00406F39">
        <w:rPr>
          <w:rFonts w:ascii="Times New Roman" w:hAnsi="Times New Roman" w:cs="Times New Roman"/>
          <w:bCs/>
          <w:color w:val="000000"/>
          <w:sz w:val="28"/>
          <w:szCs w:val="28"/>
        </w:rPr>
        <w:t xml:space="preserve">               г. Новоржев</w:t>
      </w:r>
    </w:p>
    <w:p w:rsidR="003C11B3" w:rsidRPr="00406F39" w:rsidRDefault="003C11B3" w:rsidP="00E97F86">
      <w:pPr>
        <w:shd w:val="clear" w:color="auto" w:fill="FFFFFF"/>
        <w:tabs>
          <w:tab w:val="left" w:leader="underscore" w:pos="1579"/>
        </w:tabs>
        <w:spacing w:after="0" w:line="240" w:lineRule="auto"/>
        <w:ind w:left="15" w:hanging="30"/>
        <w:jc w:val="both"/>
        <w:rPr>
          <w:rFonts w:ascii="Times New Roman" w:hAnsi="Times New Roman" w:cs="Times New Roman"/>
          <w:color w:val="000000"/>
          <w:sz w:val="28"/>
          <w:szCs w:val="28"/>
        </w:rPr>
      </w:pPr>
    </w:p>
    <w:p w:rsidR="00A8705D" w:rsidRPr="00406F39" w:rsidRDefault="00A8705D" w:rsidP="002713AC">
      <w:pPr>
        <w:shd w:val="clear" w:color="auto" w:fill="FFFFFF"/>
        <w:tabs>
          <w:tab w:val="left" w:leader="underscore" w:pos="1579"/>
        </w:tabs>
        <w:spacing w:after="0" w:line="240" w:lineRule="auto"/>
        <w:ind w:left="11" w:hanging="28"/>
        <w:jc w:val="both"/>
        <w:rPr>
          <w:rFonts w:ascii="Times New Roman" w:hAnsi="Times New Roman" w:cs="Times New Roman"/>
          <w:color w:val="000000"/>
          <w:sz w:val="28"/>
          <w:szCs w:val="28"/>
        </w:rPr>
      </w:pPr>
    </w:p>
    <w:p w:rsidR="002713AC" w:rsidRPr="002713AC" w:rsidRDefault="0022129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О внесении изменений в </w:t>
      </w:r>
      <w:r w:rsidR="002713AC" w:rsidRPr="002713AC">
        <w:rPr>
          <w:rFonts w:ascii="Times New Roman" w:hAnsi="Times New Roman" w:cs="Times New Roman"/>
          <w:b/>
          <w:sz w:val="28"/>
          <w:szCs w:val="28"/>
        </w:rPr>
        <w:t xml:space="preserve"> </w:t>
      </w:r>
      <w:r w:rsidR="0098031C">
        <w:rPr>
          <w:rFonts w:ascii="Times New Roman" w:hAnsi="Times New Roman" w:cs="Times New Roman"/>
          <w:sz w:val="28"/>
          <w:szCs w:val="28"/>
        </w:rPr>
        <w:t>С</w:t>
      </w:r>
      <w:r w:rsidR="002713AC" w:rsidRPr="002713AC">
        <w:rPr>
          <w:rFonts w:ascii="Times New Roman" w:hAnsi="Times New Roman" w:cs="Times New Roman"/>
          <w:sz w:val="28"/>
          <w:szCs w:val="28"/>
        </w:rPr>
        <w:t xml:space="preserve">хему территориального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планирования Новоржевского района</w:t>
      </w:r>
    </w:p>
    <w:p w:rsidR="00A8705D" w:rsidRPr="00406F39" w:rsidRDefault="00A8705D"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406F39" w:rsidRPr="00406F39" w:rsidRDefault="00406F39"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3C11B3" w:rsidP="002713AC">
      <w:pPr>
        <w:shd w:val="clear" w:color="auto" w:fill="FFFFFF"/>
        <w:tabs>
          <w:tab w:val="left" w:leader="underscore" w:pos="1579"/>
        </w:tabs>
        <w:spacing w:after="0" w:line="240" w:lineRule="auto"/>
        <w:ind w:left="11" w:hanging="28"/>
        <w:jc w:val="both"/>
        <w:rPr>
          <w:rFonts w:ascii="Times New Roman" w:hAnsi="Times New Roman" w:cs="Times New Roman"/>
          <w:bCs/>
          <w:sz w:val="28"/>
          <w:szCs w:val="28"/>
        </w:rPr>
      </w:pPr>
      <w:r w:rsidRPr="00406F39">
        <w:rPr>
          <w:rFonts w:ascii="Times New Roman" w:hAnsi="Times New Roman" w:cs="Times New Roman"/>
          <w:sz w:val="28"/>
          <w:szCs w:val="28"/>
        </w:rPr>
        <w:t xml:space="preserve">        </w:t>
      </w:r>
      <w:r w:rsidR="002713AC" w:rsidRPr="002713AC">
        <w:rPr>
          <w:rFonts w:ascii="Times New Roman" w:hAnsi="Times New Roman" w:cs="Times New Roman"/>
          <w:sz w:val="28"/>
          <w:szCs w:val="28"/>
        </w:rPr>
        <w:t xml:space="preserve">В соответствии с Градостроительным кодексом Российской Федерации, Федеральным законом от 06.10.2003 </w:t>
      </w:r>
      <w:r w:rsidR="002713AC" w:rsidRPr="002713AC">
        <w:rPr>
          <w:rFonts w:ascii="Times New Roman" w:hAnsi="Times New Roman" w:cs="Times New Roman"/>
          <w:bCs/>
          <w:sz w:val="28"/>
          <w:szCs w:val="28"/>
        </w:rPr>
        <w:t xml:space="preserve">№ 131-ФЗ «Об общих принципах организации местного самоуправления в Российской Федерации», руководствуясь Уставом Новоржевского муниципального округа,  Собрание депутатов Новоржевского муниципального округа </w:t>
      </w:r>
      <w:r w:rsidR="002713AC" w:rsidRPr="002713AC">
        <w:rPr>
          <w:rFonts w:ascii="Times New Roman" w:hAnsi="Times New Roman" w:cs="Times New Roman"/>
          <w:b/>
          <w:bCs/>
          <w:sz w:val="28"/>
          <w:szCs w:val="28"/>
        </w:rPr>
        <w:t>РЕШИЛО</w:t>
      </w:r>
      <w:r w:rsidR="002713AC" w:rsidRPr="002713AC">
        <w:rPr>
          <w:rFonts w:ascii="Times New Roman" w:hAnsi="Times New Roman" w:cs="Times New Roman"/>
          <w:bCs/>
          <w:sz w:val="28"/>
          <w:szCs w:val="28"/>
        </w:rPr>
        <w:t>:</w:t>
      </w:r>
    </w:p>
    <w:p w:rsidR="002713AC" w:rsidRPr="002713AC" w:rsidRDefault="002713AC" w:rsidP="002713AC">
      <w:pPr>
        <w:shd w:val="clear" w:color="auto" w:fill="FFFFFF"/>
        <w:tabs>
          <w:tab w:val="left" w:pos="567"/>
          <w:tab w:val="left" w:leader="underscore" w:pos="1579"/>
        </w:tabs>
        <w:spacing w:after="0" w:line="240" w:lineRule="auto"/>
        <w:ind w:left="11"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2713AC">
        <w:rPr>
          <w:rFonts w:ascii="Times New Roman" w:hAnsi="Times New Roman" w:cs="Times New Roman"/>
          <w:sz w:val="28"/>
          <w:szCs w:val="28"/>
        </w:rPr>
        <w:t>1. Внести изменения в Схему территориального планирования Новоржевского района, утвержденную решением Собрания депутатов Новоржевского района от 14.12.2012 № 3 «Об утверждении Схемы территориального планирования Новоржевского района», изложив ее в новой редакции согласно приложению.</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2713AC">
        <w:rPr>
          <w:rFonts w:ascii="Times New Roman" w:hAnsi="Times New Roman" w:cs="Times New Roman"/>
          <w:sz w:val="28"/>
          <w:szCs w:val="28"/>
        </w:rPr>
        <w:t xml:space="preserve">2. Настоящее решение вступает в силу с момента его официального опубликования.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2713AC">
        <w:rPr>
          <w:rFonts w:ascii="Times New Roman" w:hAnsi="Times New Roman" w:cs="Times New Roman"/>
          <w:sz w:val="28"/>
          <w:szCs w:val="28"/>
        </w:rPr>
        <w:t>3. Опубликовать настоящее постановление в сетевом издании "Нормативные правовые акты Псковской области" (</w:t>
      </w:r>
      <w:r w:rsidRPr="002713AC">
        <w:rPr>
          <w:rFonts w:ascii="Times New Roman" w:hAnsi="Times New Roman" w:cs="Times New Roman"/>
          <w:sz w:val="28"/>
          <w:szCs w:val="28"/>
          <w:lang w:val="en-US"/>
        </w:rPr>
        <w:t>pravo</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pskov</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ru</w:t>
      </w:r>
      <w:r w:rsidRPr="002713AC">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r w:rsidRPr="002713AC">
        <w:rPr>
          <w:rFonts w:ascii="Times New Roman" w:hAnsi="Times New Roman" w:cs="Times New Roman"/>
          <w:sz w:val="28"/>
          <w:szCs w:val="28"/>
          <w:lang w:val="en-US"/>
        </w:rPr>
        <w:t>novorzhev</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gosuslugi</w:t>
      </w:r>
      <w:r w:rsidRPr="002713AC">
        <w:rPr>
          <w:rFonts w:ascii="Times New Roman" w:hAnsi="Times New Roman" w:cs="Times New Roman"/>
          <w:sz w:val="28"/>
          <w:szCs w:val="28"/>
        </w:rPr>
        <w:t>.</w:t>
      </w:r>
      <w:r w:rsidRPr="002713AC">
        <w:rPr>
          <w:rFonts w:ascii="Times New Roman" w:hAnsi="Times New Roman" w:cs="Times New Roman"/>
          <w:sz w:val="28"/>
          <w:szCs w:val="28"/>
          <w:lang w:val="en-US"/>
        </w:rPr>
        <w:t>ru</w:t>
      </w:r>
      <w:r w:rsidRPr="002713AC">
        <w:rPr>
          <w:rFonts w:ascii="Times New Roman" w:hAnsi="Times New Roman" w:cs="Times New Roman"/>
          <w:sz w:val="28"/>
          <w:szCs w:val="28"/>
        </w:rPr>
        <w:t>).</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Председатель Собрания депутатов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Новоржевского муниципального округа     </w:t>
      </w:r>
      <w:r>
        <w:rPr>
          <w:rFonts w:ascii="Times New Roman" w:hAnsi="Times New Roman" w:cs="Times New Roman"/>
          <w:sz w:val="28"/>
          <w:szCs w:val="28"/>
        </w:rPr>
        <w:t xml:space="preserve">                              </w:t>
      </w:r>
      <w:r w:rsidRPr="002713AC">
        <w:rPr>
          <w:rFonts w:ascii="Times New Roman" w:hAnsi="Times New Roman" w:cs="Times New Roman"/>
          <w:sz w:val="28"/>
          <w:szCs w:val="28"/>
        </w:rPr>
        <w:t>В.А. Меркулова</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Глава Новоржевского муниципального </w:t>
      </w:r>
      <w:r>
        <w:rPr>
          <w:rFonts w:ascii="Times New Roman" w:hAnsi="Times New Roman" w:cs="Times New Roman"/>
          <w:sz w:val="28"/>
          <w:szCs w:val="28"/>
        </w:rPr>
        <w:t xml:space="preserve">округа                        </w:t>
      </w:r>
      <w:r w:rsidRPr="002713AC">
        <w:rPr>
          <w:rFonts w:ascii="Times New Roman" w:hAnsi="Times New Roman" w:cs="Times New Roman"/>
          <w:sz w:val="28"/>
          <w:szCs w:val="28"/>
        </w:rPr>
        <w:t>Л.М. Трифонова</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Согласовано:</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Заместитель Главы Администрации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Новоржевского муниципального округа по ЖКХ,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дорожной деятельности, архитектуре,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lastRenderedPageBreak/>
        <w:t>градостроительству, транспорту и связи                                    Д.А. Тимофеев</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Проект подготовил:</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Начальник отдела ЖКХ, градостроительства, </w:t>
      </w:r>
    </w:p>
    <w:p w:rsidR="002713AC" w:rsidRP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архитектуры и благоустройства Администрации </w:t>
      </w:r>
    </w:p>
    <w:p w:rsidR="00DC14DF"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r w:rsidRPr="002713AC">
        <w:rPr>
          <w:rFonts w:ascii="Times New Roman" w:hAnsi="Times New Roman" w:cs="Times New Roman"/>
          <w:sz w:val="28"/>
          <w:szCs w:val="28"/>
        </w:rPr>
        <w:t xml:space="preserve">Новоржевского муниципального округа                            </w:t>
      </w:r>
      <w:r>
        <w:rPr>
          <w:rFonts w:ascii="Times New Roman" w:hAnsi="Times New Roman" w:cs="Times New Roman"/>
          <w:sz w:val="28"/>
          <w:szCs w:val="28"/>
        </w:rPr>
        <w:t xml:space="preserve">        </w:t>
      </w:r>
      <w:r w:rsidRPr="002713AC">
        <w:rPr>
          <w:rFonts w:ascii="Times New Roman" w:hAnsi="Times New Roman" w:cs="Times New Roman"/>
          <w:sz w:val="28"/>
          <w:szCs w:val="28"/>
        </w:rPr>
        <w:t>Н.О. Васильева</w:t>
      </w: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8F6CBE" w:rsidRDefault="008F6CBE"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052452" w:rsidRDefault="00052452"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052452" w:rsidRDefault="00052452"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052452" w:rsidRDefault="00052452"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052452" w:rsidRDefault="00052452"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bookmarkStart w:id="0" w:name="_GoBack"/>
      <w:bookmarkEnd w:id="0"/>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8"/>
          <w:szCs w:val="28"/>
        </w:rPr>
      </w:pP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 xml:space="preserve">к решению Собрания депутатов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 xml:space="preserve">Новоржевского муниципального округа </w:t>
      </w:r>
    </w:p>
    <w:p w:rsidR="002713AC" w:rsidRDefault="002713AC"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r>
        <w:rPr>
          <w:rFonts w:ascii="Times New Roman" w:hAnsi="Times New Roman" w:cs="Times New Roman"/>
          <w:sz w:val="20"/>
          <w:szCs w:val="20"/>
        </w:rPr>
        <w:t>от _______________2025 № ________</w:t>
      </w:r>
    </w:p>
    <w:p w:rsidR="004E79BE" w:rsidRDefault="004E79BE"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p>
    <w:p w:rsidR="004E79BE" w:rsidRDefault="004E79BE" w:rsidP="002713AC">
      <w:pPr>
        <w:shd w:val="clear" w:color="auto" w:fill="FFFFFF"/>
        <w:tabs>
          <w:tab w:val="left" w:leader="underscore" w:pos="1579"/>
        </w:tabs>
        <w:spacing w:after="0" w:line="240" w:lineRule="auto"/>
        <w:ind w:left="11" w:hanging="28"/>
        <w:jc w:val="right"/>
        <w:rPr>
          <w:rFonts w:ascii="Times New Roman" w:hAnsi="Times New Roman" w:cs="Times New Roman"/>
          <w:sz w:val="20"/>
          <w:szCs w:val="20"/>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p>
    <w:p w:rsidR="002713AC" w:rsidRDefault="002713AC" w:rsidP="002713AC">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p>
    <w:tbl>
      <w:tblPr>
        <w:tblW w:w="8740" w:type="dxa"/>
        <w:tblLook w:val="04A0" w:firstRow="1" w:lastRow="0" w:firstColumn="1" w:lastColumn="0" w:noHBand="0" w:noVBand="1"/>
      </w:tblPr>
      <w:tblGrid>
        <w:gridCol w:w="3246"/>
        <w:gridCol w:w="5494"/>
      </w:tblGrid>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bCs/>
                <w:sz w:val="24"/>
                <w:szCs w:val="24"/>
              </w:rPr>
              <w:t xml:space="preserve"> </w:t>
            </w:r>
            <w:r w:rsidRPr="008F6CBE">
              <w:rPr>
                <w:rFonts w:ascii="Times New Roman" w:hAnsi="Times New Roman" w:cs="Times New Roman"/>
                <w:b/>
                <w:sz w:val="24"/>
                <w:szCs w:val="24"/>
              </w:rPr>
              <w:t>Заказчик</w:t>
            </w: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 xml:space="preserve">Администрация </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 xml:space="preserve">Новоржевского муниципального округа </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Псковской области</w:t>
            </w:r>
          </w:p>
        </w:tc>
      </w:tr>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p>
        </w:tc>
      </w:tr>
      <w:tr w:rsidR="008F6CBE" w:rsidRPr="008F6CBE" w:rsidTr="004E79BE">
        <w:tc>
          <w:tcPr>
            <w:tcW w:w="3246"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Исполнитель</w:t>
            </w:r>
          </w:p>
        </w:tc>
        <w:tc>
          <w:tcPr>
            <w:tcW w:w="5494" w:type="dxa"/>
          </w:tcPr>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b/>
                <w:sz w:val="24"/>
                <w:szCs w:val="24"/>
              </w:rPr>
            </w:pPr>
            <w:r w:rsidRPr="008F6CBE">
              <w:rPr>
                <w:rFonts w:ascii="Times New Roman" w:hAnsi="Times New Roman" w:cs="Times New Roman"/>
                <w:b/>
                <w:sz w:val="24"/>
                <w:szCs w:val="24"/>
              </w:rPr>
              <w:t>ООО Научно-внедренческий центр «Интеграционные технологии»</w:t>
            </w:r>
          </w:p>
        </w:tc>
      </w:tr>
    </w:tbl>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ВНЕСЕНИЕ ИЗМЕНЕНИЙ В СХЕМУ ТЕРРИТОРИАЛЬНОГО ПЛАНИРОВАНИЯ </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 НОВОРЖЕВСКОГО РАЙОНА</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(разработано в соответствии с муниципальным контрактом</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 xml:space="preserve"> от 28.05.2025 г.)</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8F6CBE">
        <w:rPr>
          <w:rFonts w:ascii="Times New Roman" w:hAnsi="Times New Roman" w:cs="Times New Roman"/>
          <w:b/>
          <w:bCs/>
          <w:sz w:val="24"/>
          <w:szCs w:val="24"/>
        </w:rPr>
        <w:t>ПОЛОЖЕНИЕ О ТЕРРИТОРИАЛЬНОМ ПЛАНИРОВАНИИ</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r w:rsidRPr="008F6CBE">
        <w:rPr>
          <w:rFonts w:ascii="Times New Roman" w:hAnsi="Times New Roman" w:cs="Times New Roman"/>
          <w:b/>
          <w:sz w:val="24"/>
          <w:szCs w:val="24"/>
        </w:rPr>
        <w:t>Том 1</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Директор</w:t>
      </w:r>
      <w:r w:rsidR="004E79BE">
        <w:rPr>
          <w:rFonts w:ascii="Times New Roman" w:hAnsi="Times New Roman" w:cs="Times New Roman"/>
          <w:b/>
          <w:bCs/>
          <w:sz w:val="24"/>
          <w:szCs w:val="24"/>
        </w:rPr>
        <w:t xml:space="preserve">         </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004E79BE">
        <w:rPr>
          <w:rFonts w:ascii="Times New Roman" w:hAnsi="Times New Roman" w:cs="Times New Roman"/>
          <w:b/>
          <w:bCs/>
          <w:sz w:val="24"/>
          <w:szCs w:val="24"/>
        </w:rPr>
        <w:t xml:space="preserve">                                      </w:t>
      </w:r>
      <w:r w:rsidRPr="008F6CBE">
        <w:rPr>
          <w:rFonts w:ascii="Times New Roman" w:hAnsi="Times New Roman" w:cs="Times New Roman"/>
          <w:b/>
          <w:bCs/>
          <w:sz w:val="24"/>
          <w:szCs w:val="24"/>
        </w:rPr>
        <w:t>Назин О.С.</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Главный архитектор проекта</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004E79BE">
        <w:rPr>
          <w:rFonts w:ascii="Times New Roman" w:hAnsi="Times New Roman" w:cs="Times New Roman"/>
          <w:b/>
          <w:bCs/>
          <w:sz w:val="24"/>
          <w:szCs w:val="24"/>
        </w:rPr>
        <w:t xml:space="preserve">                          </w:t>
      </w:r>
      <w:r w:rsidRPr="008F6CBE">
        <w:rPr>
          <w:rFonts w:ascii="Times New Roman" w:hAnsi="Times New Roman" w:cs="Times New Roman"/>
          <w:b/>
          <w:bCs/>
          <w:sz w:val="24"/>
          <w:szCs w:val="24"/>
        </w:rPr>
        <w:t>Сабельников А.Н.</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r w:rsidRPr="008F6CBE">
        <w:rPr>
          <w:rFonts w:ascii="Times New Roman" w:hAnsi="Times New Roman" w:cs="Times New Roman"/>
          <w:b/>
          <w:bCs/>
          <w:sz w:val="24"/>
          <w:szCs w:val="24"/>
        </w:rPr>
        <w:t xml:space="preserve">Руководитель проекта </w:t>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Pr="008F6CBE">
        <w:rPr>
          <w:rFonts w:ascii="Times New Roman" w:hAnsi="Times New Roman" w:cs="Times New Roman"/>
          <w:b/>
          <w:bCs/>
          <w:sz w:val="24"/>
          <w:szCs w:val="24"/>
        </w:rPr>
        <w:tab/>
      </w:r>
      <w:r w:rsidR="004E79BE">
        <w:rPr>
          <w:rFonts w:ascii="Times New Roman" w:hAnsi="Times New Roman" w:cs="Times New Roman"/>
          <w:b/>
          <w:bCs/>
          <w:sz w:val="24"/>
          <w:szCs w:val="24"/>
        </w:rPr>
        <w:t xml:space="preserve">                        </w:t>
      </w:r>
      <w:r w:rsidRPr="008F6CBE">
        <w:rPr>
          <w:rFonts w:ascii="Times New Roman" w:hAnsi="Times New Roman" w:cs="Times New Roman"/>
          <w:b/>
          <w:bCs/>
          <w:sz w:val="24"/>
          <w:szCs w:val="24"/>
        </w:rPr>
        <w:t>Перекрестова И.Н.</w:t>
      </w:r>
    </w:p>
    <w:p w:rsidR="008F6CBE" w:rsidRPr="008F6CBE" w:rsidRDefault="008F6CBE" w:rsidP="004E79BE">
      <w:pPr>
        <w:shd w:val="clear" w:color="auto" w:fill="FFFFFF"/>
        <w:tabs>
          <w:tab w:val="left" w:leader="underscore" w:pos="1579"/>
        </w:tabs>
        <w:spacing w:after="0" w:line="240" w:lineRule="auto"/>
        <w:ind w:left="11" w:hanging="28"/>
        <w:jc w:val="both"/>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8F6CBE">
        <w:rPr>
          <w:rFonts w:ascii="Times New Roman" w:hAnsi="Times New Roman" w:cs="Times New Roman"/>
          <w:b/>
          <w:bCs/>
          <w:sz w:val="24"/>
          <w:szCs w:val="24"/>
        </w:rPr>
        <w:t>г. Курск, 2025</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r w:rsidRPr="008F6CB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032F211" wp14:editId="4D7D5795">
                <wp:simplePos x="0" y="0"/>
                <wp:positionH relativeFrom="column">
                  <wp:posOffset>2197100</wp:posOffset>
                </wp:positionH>
                <wp:positionV relativeFrom="paragraph">
                  <wp:posOffset>99060</wp:posOffset>
                </wp:positionV>
                <wp:extent cx="1312545" cy="412750"/>
                <wp:effectExtent l="0" t="0" r="1905" b="6350"/>
                <wp:wrapNone/>
                <wp:docPr id="28" name="Прямоугольник 28"/>
                <wp:cNvGraphicFramePr/>
                <a:graphic xmlns:a="http://schemas.openxmlformats.org/drawingml/2006/main">
                  <a:graphicData uri="http://schemas.microsoft.com/office/word/2010/wordprocessingShape">
                    <wps:wsp>
                      <wps:cNvSpPr/>
                      <wps:spPr>
                        <a:xfrm>
                          <a:off x="3245485" y="10071735"/>
                          <a:ext cx="1312545" cy="412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A5C72" w:rsidRDefault="00DA5C72" w:rsidP="008F6CB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28" o:spid="_x0000_s1026" style="position:absolute;left:0;text-align:left;margin-left:173pt;margin-top:7.8pt;width:103.35pt;height: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" fillcolor="white [3212]" stroked="f" strokeweight="2pt">
                <v:textbox>
                  <w:txbxContent>
                    <w:p w:rsidR="00DA5C72" w:rsidRDefault="00DA5C72" w:rsidP="008F6CBE">
                      <w:pPr>
                        <w:jc w:val="center"/>
                      </w:pPr>
                    </w:p>
                  </w:txbxContent>
                </v:textbox>
              </v:rect>
            </w:pict>
          </mc:Fallback>
        </mc:AlternateContent>
      </w:r>
      <w:r w:rsidRPr="008F6CBE">
        <w:rPr>
          <w:rFonts w:ascii="Times New Roman" w:hAnsi="Times New Roman" w:cs="Times New Roman"/>
          <w:b/>
          <w:bCs/>
          <w:sz w:val="24"/>
          <w:szCs w:val="24"/>
        </w:rPr>
        <w:br w:type="page"/>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b/>
          <w:bCs/>
          <w:sz w:val="24"/>
          <w:szCs w:val="24"/>
        </w:rPr>
      </w:pPr>
    </w:p>
    <w:p w:rsidR="008F6CBE" w:rsidRPr="008F6CBE" w:rsidRDefault="008F6CBE" w:rsidP="008F6CBE">
      <w:pPr>
        <w:numPr>
          <w:ilvl w:val="0"/>
          <w:numId w:val="2"/>
        </w:numPr>
        <w:shd w:val="clear" w:color="auto" w:fill="FFFFFF"/>
        <w:tabs>
          <w:tab w:val="clear" w:pos="425"/>
          <w:tab w:val="left" w:leader="underscore" w:pos="1579"/>
        </w:tabs>
        <w:spacing w:after="0" w:line="240" w:lineRule="auto"/>
        <w:jc w:val="center"/>
        <w:rPr>
          <w:rFonts w:ascii="Times New Roman" w:hAnsi="Times New Roman" w:cs="Times New Roman"/>
          <w:b/>
          <w:bCs/>
          <w:sz w:val="24"/>
          <w:szCs w:val="24"/>
          <w:lang w:val="en-US"/>
        </w:rPr>
      </w:pPr>
      <w:bookmarkStart w:id="1" w:name="_Toc4561"/>
      <w:r w:rsidRPr="008F6CBE">
        <w:rPr>
          <w:rFonts w:ascii="Times New Roman" w:hAnsi="Times New Roman" w:cs="Times New Roman"/>
          <w:b/>
          <w:bCs/>
          <w:sz w:val="24"/>
          <w:szCs w:val="24"/>
          <w:lang w:val="en-US"/>
        </w:rPr>
        <w:t>ОБЩИЕ ПОЛОЖЕНИЯ</w:t>
      </w:r>
      <w:bookmarkEnd w:id="1"/>
    </w:p>
    <w:p w:rsidR="008F6CBE" w:rsidRPr="008F6CBE" w:rsidRDefault="008F6CBE" w:rsidP="008F6CBE">
      <w:pPr>
        <w:shd w:val="clear" w:color="auto" w:fill="FFFFFF"/>
        <w:tabs>
          <w:tab w:val="left" w:leader="underscore" w:pos="1579"/>
        </w:tabs>
        <w:spacing w:after="0" w:line="240" w:lineRule="auto"/>
        <w:ind w:left="425"/>
        <w:rPr>
          <w:rFonts w:ascii="Times New Roman" w:hAnsi="Times New Roman" w:cs="Times New Roman"/>
          <w:b/>
          <w:bCs/>
          <w:sz w:val="24"/>
          <w:szCs w:val="24"/>
          <w:lang w:val="en-US"/>
        </w:rPr>
      </w:pP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Положение о территориальном планировании подготовлено в соответствии с частью 2 статьи 19 Градостроительного кодекса Российской Федерации.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Проект внесения изменений в Схему территориального планирования разработан в границах территорий, установленных законом Псковской области «О границах и статусе действующих на территории области муниципальных образований» от 28.02.2005 № 419-ОЗ.</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На территории муниципального образования «Новоржевский район» отсутствуют межселенные территории.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С учетом положений части 10 статьи 9 Градостроительного кодекса Российской Федерации внесение изменений в схему территориального планирования разработаны на следующие сроки реализации:</w:t>
      </w:r>
    </w:p>
    <w:p w:rsidR="008F6CBE" w:rsidRPr="008F6CBE" w:rsidRDefault="008F6CBE" w:rsidP="008F6CBE">
      <w:pPr>
        <w:shd w:val="clear" w:color="auto" w:fill="FFFFFF"/>
        <w:tabs>
          <w:tab w:val="left" w:leader="underscore" w:pos="1579"/>
        </w:tabs>
        <w:spacing w:after="0" w:line="240" w:lineRule="auto"/>
        <w:ind w:left="11" w:hanging="28"/>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 xml:space="preserve">Схема территориального планирования муниципального образования «Новоржевский район» разработана на следующие проектные периоды: </w:t>
      </w:r>
    </w:p>
    <w:p w:rsidR="008F6CBE" w:rsidRPr="008F6CBE" w:rsidRDefault="008F6CBE" w:rsidP="008F6CBE">
      <w:pPr>
        <w:shd w:val="clear" w:color="auto" w:fill="FFFFFF"/>
        <w:tabs>
          <w:tab w:val="left" w:leader="underscore" w:pos="15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8F6CBE">
        <w:rPr>
          <w:rFonts w:ascii="Times New Roman" w:hAnsi="Times New Roman" w:cs="Times New Roman"/>
          <w:sz w:val="24"/>
          <w:szCs w:val="24"/>
        </w:rPr>
        <w:t xml:space="preserve">исходный год </w:t>
      </w:r>
      <w:r w:rsidRPr="008F6CBE">
        <w:rPr>
          <w:rFonts w:ascii="Times New Roman" w:hAnsi="Times New Roman" w:cs="Times New Roman"/>
          <w:sz w:val="24"/>
          <w:szCs w:val="24"/>
        </w:rPr>
        <w:tab/>
        <w:t>– 2022 г.,</w:t>
      </w:r>
    </w:p>
    <w:p w:rsidR="008F6CBE" w:rsidRPr="008F6CBE" w:rsidRDefault="008F6CBE" w:rsidP="008F6CBE">
      <w:pPr>
        <w:shd w:val="clear" w:color="auto" w:fill="FFFFFF"/>
        <w:tabs>
          <w:tab w:val="left" w:leader="underscore" w:pos="1579"/>
        </w:tabs>
        <w:spacing w:after="0" w:line="24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 xml:space="preserve">первый этап </w:t>
      </w:r>
      <w:r w:rsidRPr="008F6CBE">
        <w:rPr>
          <w:rFonts w:ascii="Times New Roman" w:hAnsi="Times New Roman" w:cs="Times New Roman"/>
          <w:sz w:val="24"/>
          <w:szCs w:val="24"/>
        </w:rPr>
        <w:tab/>
        <w:t xml:space="preserve">– 2030 г., </w:t>
      </w:r>
    </w:p>
    <w:p w:rsidR="008F6CBE" w:rsidRPr="008F6CBE" w:rsidRDefault="008F6CBE" w:rsidP="008F6CBE">
      <w:pPr>
        <w:shd w:val="clear" w:color="auto" w:fill="FFFFFF"/>
        <w:tabs>
          <w:tab w:val="left" w:leader="underscore" w:pos="1579"/>
        </w:tabs>
        <w:spacing w:after="0" w:line="24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 </w:t>
      </w:r>
      <w:r w:rsidRPr="008F6CBE">
        <w:rPr>
          <w:rFonts w:ascii="Times New Roman" w:hAnsi="Times New Roman" w:cs="Times New Roman"/>
          <w:sz w:val="24"/>
          <w:szCs w:val="24"/>
        </w:rPr>
        <w:t xml:space="preserve">расчетный срок </w:t>
      </w:r>
      <w:r w:rsidRPr="008F6CBE">
        <w:rPr>
          <w:rFonts w:ascii="Times New Roman" w:hAnsi="Times New Roman" w:cs="Times New Roman"/>
          <w:sz w:val="24"/>
          <w:szCs w:val="24"/>
        </w:rPr>
        <w:tab/>
        <w:t>– 2045 г.</w:t>
      </w: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8F6CBE" w:rsidRPr="008F6CBE" w:rsidRDefault="008F6CBE" w:rsidP="008F6CBE">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2713AC" w:rsidRPr="002713AC" w:rsidRDefault="002713AC" w:rsidP="002713AC">
      <w:pPr>
        <w:shd w:val="clear" w:color="auto" w:fill="FFFFFF"/>
        <w:tabs>
          <w:tab w:val="left" w:leader="underscore" w:pos="1579"/>
        </w:tabs>
        <w:spacing w:after="0" w:line="240" w:lineRule="auto"/>
        <w:ind w:left="11" w:hanging="28"/>
        <w:jc w:val="center"/>
        <w:rPr>
          <w:rFonts w:ascii="Times New Roman" w:hAnsi="Times New Roman" w:cs="Times New Roman"/>
          <w:sz w:val="24"/>
          <w:szCs w:val="24"/>
        </w:rPr>
      </w:pPr>
    </w:p>
    <w:p w:rsidR="00FE52FD" w:rsidRDefault="00FE52FD"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DC14DF" w:rsidRPr="00DC14DF" w:rsidRDefault="00DC14DF" w:rsidP="00DC14DF">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3C11B3" w:rsidRPr="003C11B3" w:rsidRDefault="003C11B3" w:rsidP="003C11B3">
      <w:pPr>
        <w:shd w:val="clear" w:color="auto" w:fill="FFFFFF"/>
        <w:tabs>
          <w:tab w:val="left" w:leader="underscore" w:pos="1579"/>
        </w:tabs>
        <w:spacing w:after="0" w:line="240" w:lineRule="auto"/>
        <w:ind w:left="15" w:hanging="30"/>
        <w:jc w:val="both"/>
        <w:rPr>
          <w:rFonts w:ascii="Times New Roman" w:hAnsi="Times New Roman" w:cs="Times New Roman"/>
          <w:sz w:val="28"/>
          <w:szCs w:val="28"/>
        </w:rPr>
      </w:pPr>
    </w:p>
    <w:p w:rsidR="00855D85" w:rsidRDefault="00855D85"/>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 w:rsidR="008F6CBE" w:rsidRDefault="008F6CBE">
      <w:pPr>
        <w:sectPr w:rsidR="008F6CBE" w:rsidSect="00406F39">
          <w:headerReference w:type="default" r:id="rId8"/>
          <w:pgSz w:w="11906" w:h="16838"/>
          <w:pgMar w:top="1134" w:right="991" w:bottom="1134" w:left="1701" w:header="708" w:footer="708" w:gutter="0"/>
          <w:cols w:space="708"/>
          <w:docGrid w:linePitch="360"/>
        </w:sectPr>
      </w:pPr>
    </w:p>
    <w:p w:rsidR="001A68B2" w:rsidRPr="001A68B2" w:rsidRDefault="001A68B2" w:rsidP="001A68B2">
      <w:pPr>
        <w:numPr>
          <w:ilvl w:val="0"/>
          <w:numId w:val="2"/>
        </w:numPr>
        <w:tabs>
          <w:tab w:val="clear" w:pos="425"/>
        </w:tabs>
        <w:spacing w:after="0" w:line="240" w:lineRule="auto"/>
        <w:jc w:val="center"/>
        <w:rPr>
          <w:rFonts w:ascii="Times New Roman" w:hAnsi="Times New Roman" w:cs="Times New Roman"/>
          <w:b/>
          <w:bCs/>
          <w:sz w:val="24"/>
          <w:szCs w:val="24"/>
        </w:rPr>
      </w:pPr>
      <w:bookmarkStart w:id="2" w:name="_Toc495172597"/>
      <w:bookmarkStart w:id="3" w:name="_Toc23725"/>
      <w:r w:rsidRPr="001A68B2">
        <w:rPr>
          <w:rFonts w:ascii="Times New Roman" w:hAnsi="Times New Roman" w:cs="Times New Roman"/>
          <w:b/>
          <w:bCs/>
          <w:sz w:val="24"/>
          <w:szCs w:val="24"/>
        </w:rPr>
        <w:lastRenderedPageBreak/>
        <w:t>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w:t>
      </w:r>
      <w:bookmarkStart w:id="4" w:name="_Hlk483514525"/>
      <w:bookmarkEnd w:id="2"/>
      <w:bookmarkEnd w:id="3"/>
      <w:r w:rsidRPr="001A68B2">
        <w:rPr>
          <w:rFonts w:ascii="Times New Roman" w:hAnsi="Times New Roman" w:cs="Times New Roman"/>
          <w:b/>
          <w:bCs/>
          <w:sz w:val="24"/>
          <w:szCs w:val="24"/>
        </w:rPr>
        <w:t>,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1A68B2" w:rsidRPr="001A68B2" w:rsidRDefault="001A68B2" w:rsidP="001A68B2">
      <w:pPr>
        <w:spacing w:after="0" w:line="240" w:lineRule="auto"/>
        <w:ind w:left="425"/>
        <w:rPr>
          <w:rFonts w:ascii="Times New Roman" w:hAnsi="Times New Roman" w:cs="Times New Roman"/>
          <w:bCs/>
          <w:sz w:val="24"/>
          <w:szCs w:val="24"/>
        </w:rPr>
      </w:pPr>
    </w:p>
    <w:bookmarkEnd w:id="4"/>
    <w:p w:rsidR="001A68B2" w:rsidRPr="001A68B2" w:rsidRDefault="001A68B2" w:rsidP="001A68B2">
      <w:pPr>
        <w:spacing w:after="0" w:line="240" w:lineRule="auto"/>
        <w:jc w:val="center"/>
        <w:rPr>
          <w:rFonts w:ascii="Times New Roman" w:hAnsi="Times New Roman" w:cs="Times New Roman"/>
          <w:bCs/>
          <w:iCs/>
          <w:sz w:val="24"/>
          <w:szCs w:val="24"/>
        </w:rPr>
      </w:pPr>
      <w:r w:rsidRPr="001A68B2">
        <w:rPr>
          <w:rFonts w:ascii="Times New Roman" w:hAnsi="Times New Roman" w:cs="Times New Roman"/>
          <w:bCs/>
          <w:iCs/>
          <w:sz w:val="24"/>
          <w:szCs w:val="24"/>
        </w:rPr>
        <w:t>Перечень планируемых для размещения объектов местного значения района</w:t>
      </w:r>
    </w:p>
    <w:tbl>
      <w:tblPr>
        <w:tblW w:w="13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
        <w:gridCol w:w="2323"/>
        <w:gridCol w:w="2989"/>
        <w:gridCol w:w="1808"/>
        <w:gridCol w:w="2433"/>
        <w:gridCol w:w="1984"/>
        <w:gridCol w:w="1594"/>
      </w:tblGrid>
      <w:tr w:rsidR="001A68B2" w:rsidRPr="001A68B2" w:rsidTr="003D4946">
        <w:trPr>
          <w:trHeight w:val="23"/>
          <w:tblHeader/>
          <w:jc w:val="center"/>
        </w:trPr>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 п/п</w:t>
            </w: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Назначение объекта регионального значения</w:t>
            </w:r>
          </w:p>
        </w:tc>
        <w:tc>
          <w:tcPr>
            <w:tcW w:w="2989"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Наименование</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Краткая характеристика объекта</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Местоположение планируемого объекта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Ориентировочный срок строительства</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1A68B2" w:rsidRPr="001A68B2" w:rsidRDefault="001A68B2" w:rsidP="001A68B2">
            <w:pPr>
              <w:spacing w:after="0" w:line="240" w:lineRule="auto"/>
              <w:rPr>
                <w:rFonts w:ascii="Times New Roman" w:hAnsi="Times New Roman" w:cs="Times New Roman"/>
                <w:bCs/>
                <w:sz w:val="24"/>
                <w:szCs w:val="24"/>
              </w:rPr>
            </w:pPr>
            <w:r w:rsidRPr="001A68B2">
              <w:rPr>
                <w:rFonts w:ascii="Times New Roman" w:hAnsi="Times New Roman" w:cs="Times New Roman"/>
                <w:bCs/>
                <w:sz w:val="24"/>
                <w:szCs w:val="24"/>
              </w:rPr>
              <w:t>Характеристика ЗОУИТ</w:t>
            </w:r>
          </w:p>
        </w:tc>
      </w:tr>
      <w:tr w:rsidR="001A68B2" w:rsidRPr="001A68B2" w:rsidTr="003D4946">
        <w:trPr>
          <w:trHeight w:val="23"/>
          <w:jc w:val="center"/>
        </w:trPr>
        <w:tc>
          <w:tcPr>
            <w:tcW w:w="475"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numPr>
                <w:ilvl w:val="0"/>
                <w:numId w:val="4"/>
              </w:numPr>
              <w:spacing w:after="0" w:line="240" w:lineRule="auto"/>
              <w:rPr>
                <w:rFonts w:ascii="Times New Roman" w:hAnsi="Times New Roman" w:cs="Times New Roman"/>
                <w:bCs/>
                <w:sz w:val="24"/>
                <w:szCs w:val="24"/>
              </w:rPr>
            </w:pPr>
          </w:p>
        </w:tc>
        <w:tc>
          <w:tcPr>
            <w:tcW w:w="2323" w:type="dxa"/>
            <w:tcBorders>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lang w:bidi="ru-RU"/>
              </w:rPr>
            </w:pPr>
            <w:r w:rsidRPr="001A68B2">
              <w:rPr>
                <w:rFonts w:ascii="Times New Roman" w:hAnsi="Times New Roman" w:cs="Times New Roman"/>
                <w:sz w:val="24"/>
                <w:szCs w:val="24"/>
                <w:lang w:bidi="ru-RU"/>
              </w:rPr>
              <w:t>Объекты капитального строительства в области физкультуры и спорта</w:t>
            </w:r>
          </w:p>
        </w:tc>
        <w:tc>
          <w:tcPr>
            <w:tcW w:w="2989" w:type="dxa"/>
            <w:tcBorders>
              <w:left w:val="single" w:sz="4" w:space="0" w:color="000000"/>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Реконструкция стадиона</w:t>
            </w:r>
          </w:p>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организация ФОКОТа</w:t>
            </w:r>
          </w:p>
        </w:tc>
        <w:tc>
          <w:tcPr>
            <w:tcW w:w="1808"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60 х 120 м</w:t>
            </w:r>
          </w:p>
        </w:tc>
        <w:tc>
          <w:tcPr>
            <w:tcW w:w="2433"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Новоржевский район,</w:t>
            </w:r>
            <w:r w:rsidRPr="001A68B2">
              <w:rPr>
                <w:rFonts w:ascii="Times New Roman" w:hAnsi="Times New Roman" w:cs="Times New Roman"/>
                <w:sz w:val="24"/>
                <w:szCs w:val="24"/>
                <w:lang w:val="en-US"/>
              </w:rPr>
              <w:t xml:space="preserve"> </w:t>
            </w:r>
            <w:r w:rsidRPr="001A68B2">
              <w:rPr>
                <w:rFonts w:ascii="Times New Roman" w:hAnsi="Times New Roman" w:cs="Times New Roman"/>
                <w:sz w:val="24"/>
                <w:szCs w:val="24"/>
              </w:rPr>
              <w:t>г. Новоржев</w:t>
            </w:r>
          </w:p>
        </w:tc>
        <w:tc>
          <w:tcPr>
            <w:tcW w:w="198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2024-2028</w:t>
            </w:r>
          </w:p>
        </w:tc>
        <w:tc>
          <w:tcPr>
            <w:tcW w:w="159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w:t>
            </w:r>
          </w:p>
        </w:tc>
      </w:tr>
      <w:tr w:rsidR="001A68B2" w:rsidRPr="001A68B2" w:rsidTr="003D4946">
        <w:trPr>
          <w:trHeight w:val="23"/>
          <w:jc w:val="center"/>
        </w:trPr>
        <w:tc>
          <w:tcPr>
            <w:tcW w:w="475"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numPr>
                <w:ilvl w:val="0"/>
                <w:numId w:val="4"/>
              </w:numPr>
              <w:spacing w:after="0" w:line="240" w:lineRule="auto"/>
              <w:rPr>
                <w:rFonts w:ascii="Times New Roman" w:hAnsi="Times New Roman" w:cs="Times New Roman"/>
                <w:bCs/>
                <w:sz w:val="24"/>
                <w:szCs w:val="24"/>
              </w:rPr>
            </w:pPr>
          </w:p>
        </w:tc>
        <w:tc>
          <w:tcPr>
            <w:tcW w:w="2323" w:type="dxa"/>
            <w:tcBorders>
              <w:left w:val="single" w:sz="4" w:space="0" w:color="000000"/>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lang w:bidi="ru-RU"/>
              </w:rPr>
            </w:pPr>
            <w:r w:rsidRPr="001A68B2">
              <w:rPr>
                <w:rFonts w:ascii="Times New Roman" w:hAnsi="Times New Roman" w:cs="Times New Roman"/>
                <w:sz w:val="24"/>
                <w:szCs w:val="24"/>
                <w:lang w:bidi="ru-RU"/>
              </w:rPr>
              <w:t>Газопровод распредеительный высокого давления</w:t>
            </w:r>
          </w:p>
        </w:tc>
        <w:tc>
          <w:tcPr>
            <w:tcW w:w="2989" w:type="dxa"/>
            <w:tcBorders>
              <w:left w:val="single" w:sz="4" w:space="0" w:color="000000"/>
              <w:right w:val="single" w:sz="4" w:space="0" w:color="000000"/>
            </w:tcBorders>
            <w:shd w:val="clear" w:color="auto" w:fill="auto"/>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Газопровод межпоселковый ГРС Новоржев - д. Вехно Новоржевского района Псковской области</w:t>
            </w:r>
          </w:p>
        </w:tc>
        <w:tc>
          <w:tcPr>
            <w:tcW w:w="1808"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II (Высокое 0,6 МПа); Протяженность 11,1 км</w:t>
            </w:r>
          </w:p>
        </w:tc>
        <w:tc>
          <w:tcPr>
            <w:tcW w:w="2433"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Новоржевский район</w:t>
            </w:r>
          </w:p>
        </w:tc>
        <w:tc>
          <w:tcPr>
            <w:tcW w:w="198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2025</w:t>
            </w:r>
          </w:p>
        </w:tc>
        <w:tc>
          <w:tcPr>
            <w:tcW w:w="1594" w:type="dxa"/>
            <w:tcBorders>
              <w:top w:val="single" w:sz="4" w:space="0" w:color="auto"/>
              <w:left w:val="single" w:sz="4" w:space="0" w:color="000000"/>
              <w:bottom w:val="single" w:sz="4" w:space="0" w:color="auto"/>
              <w:right w:val="single" w:sz="4" w:space="0" w:color="000000"/>
            </w:tcBorders>
            <w:vAlign w:val="center"/>
          </w:tcPr>
          <w:p w:rsidR="001A68B2" w:rsidRPr="001A68B2" w:rsidRDefault="001A68B2" w:rsidP="001A68B2">
            <w:pPr>
              <w:spacing w:after="0" w:line="240" w:lineRule="auto"/>
              <w:rPr>
                <w:rFonts w:ascii="Times New Roman" w:hAnsi="Times New Roman" w:cs="Times New Roman"/>
                <w:sz w:val="24"/>
                <w:szCs w:val="24"/>
              </w:rPr>
            </w:pPr>
            <w:r w:rsidRPr="001A68B2">
              <w:rPr>
                <w:rFonts w:ascii="Times New Roman" w:hAnsi="Times New Roman" w:cs="Times New Roman"/>
                <w:sz w:val="24"/>
                <w:szCs w:val="24"/>
              </w:rPr>
              <w:t>Охранная зона устанавливается в соответствии с постановлением Правительства РФ от 20.11.2000 г. № 878</w:t>
            </w:r>
          </w:p>
        </w:tc>
      </w:tr>
    </w:tbl>
    <w:p w:rsidR="001A68B2" w:rsidRPr="001A68B2" w:rsidRDefault="001A68B2" w:rsidP="001A68B2">
      <w:pPr>
        <w:rPr>
          <w:rFonts w:ascii="Times New Roman" w:hAnsi="Times New Roman" w:cs="Times New Roman"/>
          <w:sz w:val="20"/>
          <w:szCs w:val="20"/>
        </w:rPr>
      </w:pPr>
      <w:r w:rsidRPr="001A68B2">
        <w:rPr>
          <w:rFonts w:ascii="Times New Roman" w:hAnsi="Times New Roman" w:cs="Times New Roman"/>
          <w:sz w:val="20"/>
          <w:szCs w:val="20"/>
        </w:rPr>
        <w:t>⃰«Размещение планируемых объектов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p w:rsidR="008F6CBE" w:rsidRDefault="008F6CBE" w:rsidP="008F6CBE"/>
    <w:p w:rsidR="001A68B2" w:rsidRDefault="001A68B2" w:rsidP="008F6CBE">
      <w:pPr>
        <w:sectPr w:rsidR="001A68B2" w:rsidSect="008F6CBE">
          <w:pgSz w:w="16838" w:h="11906" w:orient="landscape"/>
          <w:pgMar w:top="1701" w:right="1134" w:bottom="992" w:left="1134" w:header="709" w:footer="709" w:gutter="0"/>
          <w:cols w:space="708"/>
          <w:docGrid w:linePitch="360"/>
        </w:sectPr>
      </w:pPr>
    </w:p>
    <w:tbl>
      <w:tblPr>
        <w:tblW w:w="0" w:type="auto"/>
        <w:tblLook w:val="04A0" w:firstRow="1" w:lastRow="0" w:firstColumn="1" w:lastColumn="0" w:noHBand="0" w:noVBand="1"/>
      </w:tblPr>
      <w:tblGrid>
        <w:gridCol w:w="3368"/>
        <w:gridCol w:w="5493"/>
      </w:tblGrid>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lastRenderedPageBreak/>
              <w:t>Заказчик</w:t>
            </w:r>
          </w:p>
        </w:tc>
        <w:tc>
          <w:tcPr>
            <w:tcW w:w="5493"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 xml:space="preserve">Администрация </w:t>
            </w:r>
          </w:p>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 xml:space="preserve">Новоржевского муниципального округа </w:t>
            </w:r>
          </w:p>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Псковской области</w:t>
            </w:r>
          </w:p>
        </w:tc>
      </w:tr>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p>
        </w:tc>
        <w:tc>
          <w:tcPr>
            <w:tcW w:w="5493" w:type="dxa"/>
          </w:tcPr>
          <w:p w:rsidR="001A68B2" w:rsidRPr="001A68B2" w:rsidRDefault="001A68B2" w:rsidP="001A68B2">
            <w:pPr>
              <w:rPr>
                <w:rFonts w:ascii="Times New Roman" w:hAnsi="Times New Roman" w:cs="Times New Roman"/>
                <w:b/>
                <w:sz w:val="24"/>
                <w:szCs w:val="24"/>
              </w:rPr>
            </w:pPr>
          </w:p>
        </w:tc>
      </w:tr>
      <w:tr w:rsidR="001A68B2" w:rsidRPr="001A68B2" w:rsidTr="001A68B2">
        <w:tc>
          <w:tcPr>
            <w:tcW w:w="3368"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Исполнитель</w:t>
            </w:r>
          </w:p>
        </w:tc>
        <w:tc>
          <w:tcPr>
            <w:tcW w:w="5493" w:type="dxa"/>
          </w:tcPr>
          <w:p w:rsidR="001A68B2" w:rsidRPr="001A68B2" w:rsidRDefault="001A68B2" w:rsidP="001A68B2">
            <w:pPr>
              <w:rPr>
                <w:rFonts w:ascii="Times New Roman" w:hAnsi="Times New Roman" w:cs="Times New Roman"/>
                <w:b/>
                <w:sz w:val="24"/>
                <w:szCs w:val="24"/>
              </w:rPr>
            </w:pPr>
            <w:r w:rsidRPr="001A68B2">
              <w:rPr>
                <w:rFonts w:ascii="Times New Roman" w:hAnsi="Times New Roman" w:cs="Times New Roman"/>
                <w:b/>
                <w:sz w:val="24"/>
                <w:szCs w:val="24"/>
              </w:rPr>
              <w:t>ООО Научно-внедренческий центр «Интеграционные технологии»</w:t>
            </w:r>
          </w:p>
        </w:tc>
      </w:tr>
    </w:tbl>
    <w:p w:rsidR="001A68B2" w:rsidRPr="001A68B2" w:rsidRDefault="001A68B2" w:rsidP="001A68B2">
      <w:pPr>
        <w:rPr>
          <w:rFonts w:ascii="Times New Roman" w:hAnsi="Times New Roman" w:cs="Times New Roman"/>
          <w:b/>
          <w:sz w:val="24"/>
          <w:szCs w:val="24"/>
        </w:rPr>
      </w:pP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ВНЕСЕНИЕ ИЗМЕНЕНИЙ В СХЕМУ ТЕРРИТОРИАЛЬНОГО ПЛАНИРОВАНИЯ</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НОВОРЖЕВСКОГО РАЙОНА</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(разработано в соответствии с муниципальным контрактом</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от 28.05.2025 г.)</w:t>
      </w:r>
    </w:p>
    <w:p w:rsidR="001A68B2" w:rsidRPr="001A68B2" w:rsidRDefault="001A68B2" w:rsidP="001A68B2">
      <w:pPr>
        <w:rPr>
          <w:rFonts w:ascii="Times New Roman" w:hAnsi="Times New Roman" w:cs="Times New Roman"/>
          <w:b/>
          <w:sz w:val="24"/>
          <w:szCs w:val="24"/>
        </w:rPr>
      </w:pP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МАТЕРИАЛЫ ПО ОБОСНОВАНИЮ</w:t>
      </w:r>
    </w:p>
    <w:p w:rsidR="001A68B2" w:rsidRPr="001A68B2" w:rsidRDefault="001A68B2" w:rsidP="001A68B2">
      <w:pPr>
        <w:jc w:val="center"/>
        <w:rPr>
          <w:rFonts w:ascii="Times New Roman" w:hAnsi="Times New Roman" w:cs="Times New Roman"/>
          <w:b/>
          <w:sz w:val="24"/>
          <w:szCs w:val="24"/>
        </w:rPr>
      </w:pPr>
      <w:r w:rsidRPr="001A68B2">
        <w:rPr>
          <w:rFonts w:ascii="Times New Roman" w:hAnsi="Times New Roman" w:cs="Times New Roman"/>
          <w:b/>
          <w:sz w:val="24"/>
          <w:szCs w:val="24"/>
        </w:rPr>
        <w:t>Том 2</w:t>
      </w:r>
    </w:p>
    <w:p w:rsidR="001A68B2" w:rsidRPr="001A68B2" w:rsidRDefault="001A68B2" w:rsidP="001A68B2">
      <w:pPr>
        <w:rPr>
          <w:rFonts w:ascii="Times New Roman" w:hAnsi="Times New Roman" w:cs="Times New Roman"/>
          <w:b/>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Директор</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Pr>
          <w:rFonts w:ascii="Times New Roman" w:hAnsi="Times New Roman" w:cs="Times New Roman"/>
          <w:b/>
          <w:bCs/>
          <w:sz w:val="24"/>
          <w:szCs w:val="24"/>
        </w:rPr>
        <w:t xml:space="preserve"> </w:t>
      </w:r>
      <w:r w:rsidRPr="001A68B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A68B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A68B2">
        <w:rPr>
          <w:rFonts w:ascii="Times New Roman" w:hAnsi="Times New Roman" w:cs="Times New Roman"/>
          <w:b/>
          <w:bCs/>
          <w:sz w:val="24"/>
          <w:szCs w:val="24"/>
        </w:rPr>
        <w:t>Назин О.С.</w:t>
      </w:r>
    </w:p>
    <w:p w:rsidR="001A68B2" w:rsidRPr="001A68B2" w:rsidRDefault="001A68B2" w:rsidP="001A68B2">
      <w:pPr>
        <w:jc w:val="both"/>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Главный архитектор проекта</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1A68B2">
        <w:rPr>
          <w:rFonts w:ascii="Times New Roman" w:hAnsi="Times New Roman" w:cs="Times New Roman"/>
          <w:b/>
          <w:bCs/>
          <w:sz w:val="24"/>
          <w:szCs w:val="24"/>
        </w:rPr>
        <w:t xml:space="preserve"> Сабельников А.Н.</w:t>
      </w:r>
    </w:p>
    <w:p w:rsidR="001A68B2" w:rsidRPr="001A68B2" w:rsidRDefault="001A68B2" w:rsidP="001A68B2">
      <w:pPr>
        <w:jc w:val="both"/>
        <w:rPr>
          <w:rFonts w:ascii="Times New Roman" w:hAnsi="Times New Roman" w:cs="Times New Roman"/>
          <w:b/>
          <w:bCs/>
          <w:sz w:val="24"/>
          <w:szCs w:val="24"/>
        </w:rPr>
      </w:pPr>
    </w:p>
    <w:p w:rsidR="001A68B2" w:rsidRPr="001A68B2" w:rsidRDefault="001A68B2" w:rsidP="001A68B2">
      <w:pPr>
        <w:jc w:val="both"/>
        <w:rPr>
          <w:rFonts w:ascii="Times New Roman" w:hAnsi="Times New Roman" w:cs="Times New Roman"/>
          <w:b/>
          <w:bCs/>
          <w:sz w:val="24"/>
          <w:szCs w:val="24"/>
        </w:rPr>
      </w:pPr>
      <w:r w:rsidRPr="001A68B2">
        <w:rPr>
          <w:rFonts w:ascii="Times New Roman" w:hAnsi="Times New Roman" w:cs="Times New Roman"/>
          <w:b/>
          <w:bCs/>
          <w:sz w:val="24"/>
          <w:szCs w:val="24"/>
        </w:rPr>
        <w:t xml:space="preserve">Руководитель проекта </w:t>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r>
      <w:r w:rsidRPr="001A68B2">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1A68B2">
        <w:rPr>
          <w:rFonts w:ascii="Times New Roman" w:hAnsi="Times New Roman" w:cs="Times New Roman"/>
          <w:b/>
          <w:bCs/>
          <w:sz w:val="24"/>
          <w:szCs w:val="24"/>
        </w:rPr>
        <w:t>Перекрестова И.Н.</w:t>
      </w:r>
    </w:p>
    <w:p w:rsidR="001A68B2" w:rsidRPr="001A68B2" w:rsidRDefault="001A68B2" w:rsidP="001A68B2">
      <w:pPr>
        <w:rPr>
          <w:rFonts w:ascii="Times New Roman" w:hAnsi="Times New Roman" w:cs="Times New Roman"/>
          <w:b/>
          <w:bCs/>
          <w:sz w:val="24"/>
          <w:szCs w:val="24"/>
        </w:rPr>
      </w:pPr>
    </w:p>
    <w:p w:rsidR="001A68B2" w:rsidRDefault="001A68B2" w:rsidP="001A68B2">
      <w:pPr>
        <w:rPr>
          <w:rFonts w:ascii="Times New Roman" w:hAnsi="Times New Roman" w:cs="Times New Roman"/>
          <w:b/>
          <w:bCs/>
          <w:sz w:val="24"/>
          <w:szCs w:val="24"/>
        </w:rPr>
      </w:pPr>
    </w:p>
    <w:p w:rsidR="001A68B2" w:rsidRDefault="001A68B2" w:rsidP="001A68B2">
      <w:pPr>
        <w:rPr>
          <w:rFonts w:ascii="Times New Roman" w:hAnsi="Times New Roman" w:cs="Times New Roman"/>
          <w:b/>
          <w:bCs/>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rPr>
          <w:rFonts w:ascii="Times New Roman" w:hAnsi="Times New Roman" w:cs="Times New Roman"/>
          <w:b/>
          <w:bCs/>
          <w:sz w:val="24"/>
          <w:szCs w:val="24"/>
        </w:rPr>
      </w:pPr>
    </w:p>
    <w:p w:rsidR="001A68B2" w:rsidRPr="001A68B2" w:rsidRDefault="001A68B2" w:rsidP="001A68B2">
      <w:pPr>
        <w:jc w:val="center"/>
        <w:rPr>
          <w:rFonts w:ascii="Times New Roman" w:hAnsi="Times New Roman" w:cs="Times New Roman"/>
          <w:b/>
          <w:bCs/>
          <w:sz w:val="24"/>
          <w:szCs w:val="24"/>
        </w:rPr>
      </w:pPr>
      <w:r w:rsidRPr="001A68B2">
        <w:rPr>
          <w:rFonts w:ascii="Times New Roman" w:hAnsi="Times New Roman" w:cs="Times New Roman"/>
          <w:b/>
          <w:bCs/>
          <w:sz w:val="24"/>
          <w:szCs w:val="24"/>
        </w:rPr>
        <w:t>г. Курск, 2025</w:t>
      </w:r>
    </w:p>
    <w:p w:rsidR="001A68B2" w:rsidRDefault="001A68B2" w:rsidP="001A68B2">
      <w:pPr>
        <w:rPr>
          <w:rFonts w:ascii="Times New Roman" w:hAnsi="Times New Roman" w:cs="Times New Roman"/>
          <w:sz w:val="24"/>
          <w:szCs w:val="24"/>
        </w:rPr>
      </w:pPr>
    </w:p>
    <w:p w:rsidR="001A68B2" w:rsidRDefault="001A68B2" w:rsidP="001A68B2">
      <w:pPr>
        <w:rPr>
          <w:rFonts w:ascii="Times New Roman" w:hAnsi="Times New Roman" w:cs="Times New Roman"/>
          <w:sz w:val="24"/>
          <w:szCs w:val="24"/>
        </w:rPr>
      </w:pPr>
    </w:p>
    <w:p w:rsidR="001A68B2" w:rsidRPr="00F10857" w:rsidRDefault="001A68B2" w:rsidP="00F10857">
      <w:pPr>
        <w:spacing w:after="0" w:line="240" w:lineRule="auto"/>
        <w:jc w:val="center"/>
        <w:rPr>
          <w:rFonts w:ascii="Times New Roman" w:hAnsi="Times New Roman" w:cs="Times New Roman"/>
          <w:b/>
          <w:bCs/>
          <w:sz w:val="24"/>
          <w:szCs w:val="24"/>
        </w:rPr>
      </w:pPr>
      <w:bookmarkStart w:id="5" w:name="_Toc167274999"/>
      <w:bookmarkStart w:id="6" w:name="_Toc227763200"/>
      <w:bookmarkStart w:id="7" w:name="_Toc212814479"/>
      <w:r w:rsidRPr="00F10857">
        <w:rPr>
          <w:rFonts w:ascii="Times New Roman" w:hAnsi="Times New Roman" w:cs="Times New Roman"/>
          <w:b/>
          <w:bCs/>
          <w:sz w:val="24"/>
          <w:szCs w:val="24"/>
        </w:rPr>
        <w:lastRenderedPageBreak/>
        <w:t>1. ВВЕДЕНИЕ</w:t>
      </w:r>
      <w:bookmarkEnd w:id="5"/>
      <w:bookmarkEnd w:id="6"/>
      <w:bookmarkEnd w:id="7"/>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СТП Новоржевского района разработана, утверждена решением Собрания депутатов Новоржевского района от 14.12.2012 г. № 3 «Об утверждении схемы территориального планирования Новоржевского района» (с изменениями на 16.12.2024 г. №2)</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Проект внесения изменений в Схему территориального планирования Новоржевского района (далее СТП Новоржевского района) разработан в рамках выполнения муниципального контракта от 28 мая 2025 года, заключенного между Администрацией Новоржевского муниципального округа Псковской области и Обществом с ограниченной ответственностью Научно-внедренческим центром «Интеграционные технологии»».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Подготовка проекта внесения изменений в СТП Новоржевского района выполнена в соответствии с Приложением № 1 к муниципальному контракту от 28.05.2025 г. на оказание услуг по разработке проекта внесения изменений в схему территориального планирования муниципального образования «Новоржевский район» Псковской области. </w:t>
      </w:r>
    </w:p>
    <w:p w:rsidR="001A68B2" w:rsidRPr="00F10857" w:rsidRDefault="00F10857" w:rsidP="00F1085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Основанием для подготовки проекта внесения изменений в СТП Новоржевского района является основное мероприятие «Создание условий для устойчивого развития территорий, эффективного управления государственным имуществом и земельными ресурсами» подпрограммы включенной в состав Государственной программы Псковской области «Содействие экономическому развитию, инвестиционной и внешнеэкономической деятельности», утвержденной постановлением Администрации Псковской области от 28.10.2013 № 499.</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В своей работе коллектив разработчика руководствовался нормативно-правовой базой:</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Градостроительный кодекс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Земельный кодекс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Водный кодекс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Лесной кодекс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21.12.1994 № 68-ФЗ «О защите населения и территорий от чрезвычайных ситуаций природного и техногенного характера»;</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10.01.2003 № 17-ФЗ «О железнодорожном транспорте в Российской Федерации;</w:t>
      </w:r>
    </w:p>
    <w:p w:rsidR="001A68B2" w:rsidRPr="00F10857" w:rsidRDefault="00F10857" w:rsidP="00F1085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29.12.2004 № 191-ФЗ «О введении в действие Градостроительного кодекса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22.07.2008 № 123-ФЗ «Технический регламент о требованиях пожарной безопасности»;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13.07.2015 г. № 218-ФЗ «О государственной регистрации недвижимости»;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Федеральный закон от 30.12.2020 № 505-ФЗ «О внесении изменений в Федеральный закон «Об особо охраняемых природных территориях» и отдельные законодательные акты Российской Федерации»;</w:t>
      </w:r>
    </w:p>
    <w:p w:rsidR="001A68B2" w:rsidRPr="00F10857" w:rsidRDefault="00F10857" w:rsidP="00F10857">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Постановление Правительства Российской Федерации от 12.04.2012 № 289 «О федеральной государственной информационной системе территориального планирования»;</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68B2" w:rsidRPr="00F10857">
        <w:rPr>
          <w:rFonts w:ascii="Times New Roman" w:hAnsi="Times New Roman" w:cs="Times New Roman"/>
          <w:sz w:val="24"/>
          <w:szCs w:val="24"/>
        </w:rPr>
        <w:t>- Постановление Правительства РФ от 10.02.2020 №118 «О внесении изменений в постановление Правительства Российской Федерации от 31.12.2015 г. № 1532»;</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СП 42.13330.2016 «Свод правил. Градостроительство. Планировка и застройка городских и сельских поселений. Актуализированная редакция СНиП 2.07.01-89»;</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образовании» (пункт 4 и пункт 5) (в части, не противоречащей Градостроительному кодексу РФ);</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ГОСТ Р 22.2.10-2016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документов территориального планирования»;</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Приказ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Приказ Минэкономразвития России от 17.06.2021 № 349 «Об утверждении требований к структуре и форматам информации, предусмотренной ч. 2 ст. 57.1 Градостроительного кодекса РФ, составляющий информационный ресурс федеральной государственной информационной системы территориального планирования»;</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Закон Псковской области от 10.02.2014 № 1356-ОЗ «Об отдельных вопросах регулирования градостроительной деятельности на территории Псковской области»;</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Постановление Администрации Псковской области от 30.03.2012 № 155 «Об утверждении Схемы территориального планирования Псковской области», с внесенными изменениями Постановлением Администрации Псковской области от 27.10.2020 № 376 «О внесении изменений в Схему территориального планирования Псковской области»;</w:t>
      </w:r>
    </w:p>
    <w:p w:rsidR="00A06F48" w:rsidRPr="00A06F48" w:rsidRDefault="00F10857"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w:t>
      </w:r>
      <w:r w:rsidR="00A06F48" w:rsidRPr="00A06F48">
        <w:rPr>
          <w:rFonts w:ascii="Times New Roman" w:eastAsia="Times New Roman" w:hAnsi="Times New Roman" w:cs="Times New Roman"/>
          <w:sz w:val="28"/>
          <w:szCs w:val="28"/>
          <w:lang w:eastAsia="hi-IN" w:bidi="hi-IN"/>
        </w:rPr>
        <w:t xml:space="preserve"> </w:t>
      </w:r>
      <w:r w:rsidR="00A06F48" w:rsidRPr="00A06F48">
        <w:rPr>
          <w:rFonts w:ascii="Times New Roman" w:hAnsi="Times New Roman" w:cs="Times New Roman"/>
          <w:sz w:val="24"/>
          <w:szCs w:val="24"/>
        </w:rPr>
        <w:t>Постановление правительства Псковской области от 20.12.2024 №474 «О региональных нормативах градостроительного проектирования Псковской области»</w:t>
      </w:r>
      <w:r w:rsidR="00A06F48">
        <w:rPr>
          <w:rFonts w:ascii="Times New Roman" w:hAnsi="Times New Roman" w:cs="Times New Roman"/>
          <w:sz w:val="24"/>
          <w:szCs w:val="24"/>
        </w:rPr>
        <w:t>;</w:t>
      </w:r>
    </w:p>
    <w:p w:rsidR="001A68B2" w:rsidRPr="00F10857" w:rsidRDefault="00F10857"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«Схема территориального планирования муниципального образования Новоржевского района», утвержденная Решением Собрания депутатов Новоржевского района от 14.12.2012 № 3;</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Схемы территориального планирования Российской Федерации в области транспорта, энергетики, образования, здравоохранения, обороны страны;</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Стратегия пространственного развития Российской Федерации на период до 2025 года, утвержденная распоряжением Правительства РФ от 13.02.2019 № 207-р (с изменениями).</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Стратегия социально-экономического развития Псковской области до 2035 года, утвержденная распоряжением Администрации Псковской области от 10.12.2020 № 670-р «О стратегии социально-экономического развития Псковской области до 2035 года».</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Местные нормативы градостроительного проектирования Новоржевского района.</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Целью проекта внесения изменений в СТП Новоржевского района является обеспечение устойчивого развития территории поселений путем разработки долгосрочной территориальной стратегии, учитывающей необходимость достижения их устойчивого социально-экономического развития для обеспечения высоких жизненных стандартов населения.</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Задачи, которые должен решить проект внесения изменений в СТП Новоржевского района:</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 создание условий для реализации пространственных интересов Российской Федерации, Псковской области, муниципальных образований Псковской области и </w:t>
      </w:r>
      <w:r w:rsidR="001A68B2" w:rsidRPr="00F10857">
        <w:rPr>
          <w:rFonts w:ascii="Times New Roman" w:hAnsi="Times New Roman" w:cs="Times New Roman"/>
          <w:sz w:val="24"/>
          <w:szCs w:val="24"/>
        </w:rPr>
        <w:lastRenderedPageBreak/>
        <w:t>населения Псковской области на территориях поселений с учетом требований безопасности жизнедеятельности, экологического и санитарного благополучия;</w:t>
      </w:r>
    </w:p>
    <w:p w:rsidR="001A68B2" w:rsidRPr="00F10857" w:rsidRDefault="00A06F48" w:rsidP="00A06F4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создание условий для повышения инвестиционной привлекательности территорий поселений;</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совершенствование планировочной структуры населённых пунктов;</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 обоснование размещения объектов, необходимых для реализации полномочий органов местного самоуправления поселений; </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 обоснование размещения объектов федерального значения, объектов регионального значения, объектов местного значения муниципального района (при наличии); </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оценка возможного влияния планируемых для размещения объектов регионального значения на комплексное развитие территорий поселений.</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 разработка комплекса мер по сохранению и использованию объектов культурного наследия, ценных природных комплексов и объектов; </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xml:space="preserve">- разработка мероприятий по минимизации последствий чрезвычайных ситуаций природного и техногенного характера с учетом инженерно-технических мероприятий гражданской обороны, предупреждения чрезвычайных ситуаций и обеспечения пожарной безопасности. </w:t>
      </w:r>
    </w:p>
    <w:p w:rsidR="001A68B2" w:rsidRPr="00F10857" w:rsidRDefault="00A06F48" w:rsidP="00A06F4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обоснование предложений по внесению изменений в схему территориального планирования муниципального образования с учетом анализа предложений заинтересованных лиц;</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отображение в схеме территориального планирования муниципального образования границ населенных пунктов в соответствии данными государственного кадастра недвижимости.</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Достижение устойчивого развития района и решение поставленных задач базируется на всесторонней комплексной оценке территории, в ходе которой выявляется и оценивается природно-ресурсный, экономический, транспортный, инфраструктурный потенциалы, устанавливаются присущие данной территории особенности расселения (в т.ч. сельского), исследуется планировочная ситуация, проводится оценка экологической ситуации.</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В составе материалов по обоснованию в текстовой форме должны содержаться:</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сведения об утвержденных документах стратегического планирования, указанных в части 5.2 статьи 9 Градостроительного кодекса Российской Федерации,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1A68B2" w:rsidRPr="00F10857" w:rsidRDefault="00A06F48" w:rsidP="00A06F4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1A68B2" w:rsidRPr="00F10857"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1A68B2" w:rsidRPr="001A68B2" w:rsidRDefault="00A06F48" w:rsidP="00F108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F10857">
        <w:rPr>
          <w:rFonts w:ascii="Times New Roman" w:hAnsi="Times New Roman" w:cs="Times New Roman"/>
          <w:sz w:val="24"/>
          <w:szCs w:val="24"/>
        </w:rPr>
        <w:t>-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w:t>
      </w:r>
      <w:r w:rsidR="001A68B2" w:rsidRPr="001A68B2">
        <w:rPr>
          <w:rFonts w:ascii="Times New Roman" w:hAnsi="Times New Roman" w:cs="Times New Roman"/>
          <w:sz w:val="24"/>
          <w:szCs w:val="24"/>
        </w:rPr>
        <w:t xml:space="preserve"> регионального значения, их основные характеристики, местоположение, характеристики </w:t>
      </w:r>
      <w:r w:rsidR="001A68B2" w:rsidRPr="001A68B2">
        <w:rPr>
          <w:rFonts w:ascii="Times New Roman" w:hAnsi="Times New Roman" w:cs="Times New Roman"/>
          <w:sz w:val="24"/>
          <w:szCs w:val="24"/>
        </w:rPr>
        <w:lastRenderedPageBreak/>
        <w:t>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Графические материалы выполняются в виде следующих карт:</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Карта планируемого размещения объектов местного значения муниципального района;</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Карта границ поселений и населенных пунктов;</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Карта особо охраняемых природных территорий и территорий ОКН (федерального, регионального, местного значения);</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Карта зон с особыми условиями использования территорий (в том числе с отображением границ лесничеств).</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Карта границ территорий, подверженных риску возникновения чрезвычайных ситуаций природного и техногенного характера.</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В проекте внесения изменений в СТП Новоржевского района использованы исходные данные:</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материалы схемы территориального планирования Российской Федерации в области транспорта, энергетики, образования, здравоохранения, обороны страны;</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материалы схемы территориального планирования Псковской области;</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материалы схемы территориального планирования муниципального образования «Новоржевский район»;</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данные по современному использованию территорий, в том числе по размещению объектов капитального строительства;</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актуализированные сведения о землепользователях, распределения земель по формам собственности и землепользователям на территориях поселений на основании материалов, предоставленных Управлением Росреестра по Псковской области;</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статистические материалы о современном социально-экономическом положении, демографических ресурсах, об инженерно-транспортной инфраструктуре, промышленности, сельском и лесном хозяйстве, строительстве, охране окружающей среды;</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сведения о законодательно-правовой базе (местные нормативно-правовые акты в области градостроительства и природопользования);</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национальные проекты, положения стратегии социально-экономического развития муниципального образования, планы и мероприятия по их реализации, бюджетный прогноз муниципального образования на долгосрочный период (при наличии), положения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w:t>
      </w:r>
    </w:p>
    <w:p w:rsidR="001A68B2" w:rsidRPr="001A68B2" w:rsidRDefault="00A06F48" w:rsidP="00A06F4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пространственные данные и материалы на территорию Новоржевского района;</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исходные материалы, предоставленные Администрацией муниципального образования «Новоржевский район»;</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xml:space="preserve">- исходные материалы, предоставленные органами и учреждениями исполнительной власти Псковской области; </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68B2" w:rsidRPr="001A68B2">
        <w:rPr>
          <w:rFonts w:ascii="Times New Roman" w:hAnsi="Times New Roman" w:cs="Times New Roman"/>
          <w:sz w:val="24"/>
          <w:szCs w:val="24"/>
        </w:rPr>
        <w:t>- материалы официальных сайтов и других публичных ресурсов сети Интернет.</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xml:space="preserve">Схема территориального планирования муниципального образования «Новоржевский район» разработана на следующие проектные периоды: </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xml:space="preserve">- исходный год </w:t>
      </w:r>
      <w:r w:rsidR="001A68B2" w:rsidRPr="001A68B2">
        <w:rPr>
          <w:rFonts w:ascii="Times New Roman" w:hAnsi="Times New Roman" w:cs="Times New Roman"/>
          <w:sz w:val="24"/>
          <w:szCs w:val="24"/>
        </w:rPr>
        <w:tab/>
        <w:t>– 2022 г.,</w:t>
      </w:r>
    </w:p>
    <w:p w:rsidR="001A68B2" w:rsidRP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xml:space="preserve">- первый этап – 2030 г., </w:t>
      </w:r>
    </w:p>
    <w:p w:rsidR="001A68B2" w:rsidRDefault="00A06F48" w:rsidP="00A06F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68B2" w:rsidRPr="001A68B2">
        <w:rPr>
          <w:rFonts w:ascii="Times New Roman" w:hAnsi="Times New Roman" w:cs="Times New Roman"/>
          <w:sz w:val="24"/>
          <w:szCs w:val="24"/>
        </w:rPr>
        <w:t>- расчетный срок – 2045 г.</w:t>
      </w: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Pr="003D4946" w:rsidRDefault="003D4946" w:rsidP="003D4946">
      <w:pPr>
        <w:spacing w:after="0" w:line="240" w:lineRule="auto"/>
        <w:jc w:val="both"/>
        <w:rPr>
          <w:rFonts w:ascii="Times New Roman" w:hAnsi="Times New Roman" w:cs="Times New Roman"/>
          <w:b/>
          <w:bCs/>
          <w:sz w:val="24"/>
          <w:szCs w:val="24"/>
        </w:rPr>
      </w:pPr>
      <w:bookmarkStart w:id="8" w:name="_Toc216434230"/>
      <w:r w:rsidRPr="003D4946">
        <w:rPr>
          <w:rFonts w:ascii="Times New Roman" w:hAnsi="Times New Roman" w:cs="Times New Roman"/>
          <w:b/>
          <w:bCs/>
          <w:sz w:val="24"/>
          <w:szCs w:val="24"/>
        </w:rPr>
        <w:lastRenderedPageBreak/>
        <w:t xml:space="preserve">2. </w:t>
      </w:r>
      <w:bookmarkStart w:id="9" w:name="_Toc17265"/>
      <w:r w:rsidRPr="003D4946">
        <w:rPr>
          <w:rFonts w:ascii="Times New Roman" w:hAnsi="Times New Roman" w:cs="Times New Roman"/>
          <w:b/>
          <w:bCs/>
          <w:sz w:val="24"/>
          <w:szCs w:val="2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8"/>
      <w:bookmarkEnd w:id="9"/>
    </w:p>
    <w:p w:rsidR="003D4946" w:rsidRPr="003D4946" w:rsidRDefault="003D4946" w:rsidP="003D4946">
      <w:pPr>
        <w:spacing w:after="0" w:line="240" w:lineRule="auto"/>
        <w:jc w:val="both"/>
        <w:rPr>
          <w:rFonts w:ascii="Times New Roman" w:hAnsi="Times New Roman" w:cs="Times New Roman"/>
          <w:b/>
          <w:sz w:val="24"/>
          <w:szCs w:val="24"/>
        </w:rPr>
      </w:pPr>
    </w:p>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Таблица 1 - Перечень учитываемых документов стратегического планирования Российской Федерации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4375"/>
        <w:gridCol w:w="4219"/>
      </w:tblGrid>
      <w:tr w:rsidR="003D4946" w:rsidRPr="003D4946" w:rsidTr="003D4946">
        <w:trPr>
          <w:trHeight w:val="23"/>
          <w:tblHeader/>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№п/п</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 программы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Утверждающий документ</w:t>
            </w:r>
          </w:p>
        </w:tc>
      </w:tr>
      <w:tr w:rsidR="003D4946" w:rsidRPr="003D4946" w:rsidTr="003D4946">
        <w:trPr>
          <w:trHeight w:val="1035"/>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здравоохранения»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26 декабря 2017 г. № 1640 (с последующими изменениями)</w:t>
            </w:r>
          </w:p>
        </w:tc>
      </w:tr>
      <w:tr w:rsidR="003D4946" w:rsidRPr="003D4946" w:rsidTr="003D4946">
        <w:trPr>
          <w:trHeight w:val="691"/>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образования»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26 декабря 2017 г. № 1642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«Социальная поддержка граждан»</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296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«Доступная среда»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29 марта 2019 г. № 363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«Обеспечение доступным и комфортным жильем и коммунальными услугами граждан Российской Федерации»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декабря 2017 г. № 1710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«Содействие занятости населения»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298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культуры»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физической культуры и спорта»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сентября 2021 г. № 1661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«Реализация государственной национальной политики»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29 декабря 2016 г. № 1532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транспортной системы»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20 декабря 2017 г. № 1596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«Охрана окружающей среды»</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«Комплексное развитие сельских территорий»</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31 мая 2019 г. № 696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Государственная программа Российской </w:t>
            </w:r>
            <w:r w:rsidRPr="003D4946">
              <w:rPr>
                <w:rFonts w:ascii="Times New Roman" w:hAnsi="Times New Roman" w:cs="Times New Roman"/>
                <w:sz w:val="24"/>
                <w:szCs w:val="24"/>
              </w:rPr>
              <w:lastRenderedPageBreak/>
              <w:t>Федерации «Научно-технологическое развитие Российской Федерации»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Постановление Правительства РФ от </w:t>
            </w:r>
            <w:r w:rsidRPr="003D4946">
              <w:rPr>
                <w:rFonts w:ascii="Times New Roman" w:hAnsi="Times New Roman" w:cs="Times New Roman"/>
                <w:sz w:val="24"/>
                <w:szCs w:val="24"/>
              </w:rPr>
              <w:lastRenderedPageBreak/>
              <w:t>29 марта 2019 г. № 377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14</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«Экономическое развитие и инновационная экономика»</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316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промышленности и повышение ее конкурентоспособности»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328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16</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«О развитии сельского хозяйства и регулирования рынков сельскохозяйственной продукции, сырья и продовольствия»</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14 июля 2012 г. № 717 (с последующими изменениями)</w:t>
            </w:r>
          </w:p>
        </w:tc>
      </w:tr>
      <w:tr w:rsidR="003D4946" w:rsidRPr="003D4946" w:rsidTr="003D4946">
        <w:trPr>
          <w:trHeight w:val="23"/>
        </w:trPr>
        <w:tc>
          <w:tcPr>
            <w:tcW w:w="443"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17</w:t>
            </w:r>
          </w:p>
        </w:tc>
        <w:tc>
          <w:tcPr>
            <w:tcW w:w="2320"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энергетики»</w:t>
            </w:r>
          </w:p>
        </w:tc>
        <w:tc>
          <w:tcPr>
            <w:tcW w:w="2237" w:type="pct"/>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321 (с последующими изменениями)</w:t>
            </w:r>
          </w:p>
        </w:tc>
      </w:tr>
      <w:tr w:rsidR="003D4946" w:rsidRPr="003D4946" w:rsidTr="003D4946">
        <w:trPr>
          <w:trHeight w:val="23"/>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300 (с последующими изменениями)</w:t>
            </w:r>
          </w:p>
        </w:tc>
      </w:tr>
      <w:tr w:rsidR="003D4946" w:rsidRPr="003D4946" w:rsidTr="003D4946">
        <w:trPr>
          <w:trHeight w:val="23"/>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рыбохозяйственного комплекса»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314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лесного хозяйства»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318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«Воспроизводство и использование природных ресурсов»</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15 апреля 2014 г. № 322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Российской Федерации «Развитие туризма»</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24 декабря 2021 г. № 2439 (с последующими изменениями)</w:t>
            </w:r>
          </w:p>
        </w:tc>
      </w:tr>
      <w:tr w:rsidR="003D4946" w:rsidRPr="003D4946" w:rsidTr="003D4946">
        <w:trPr>
          <w:trHeight w:val="82"/>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23</w:t>
            </w:r>
          </w:p>
        </w:tc>
        <w:tc>
          <w:tcPr>
            <w:tcW w:w="2320"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Комплексная государственная программа Российской Федерации «Строительство»</w:t>
            </w:r>
          </w:p>
        </w:tc>
        <w:tc>
          <w:tcPr>
            <w:tcW w:w="223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РФ от 30 сентября 2022 г. № 1730 (с последующими изменениями)</w:t>
            </w:r>
          </w:p>
        </w:tc>
      </w:tr>
    </w:tbl>
    <w:p w:rsidR="003D4946" w:rsidRPr="003D4946" w:rsidRDefault="003D4946" w:rsidP="003D4946">
      <w:pPr>
        <w:spacing w:after="0" w:line="240" w:lineRule="auto"/>
        <w:jc w:val="both"/>
        <w:rPr>
          <w:rFonts w:ascii="Times New Roman" w:hAnsi="Times New Roman" w:cs="Times New Roman"/>
          <w:b/>
          <w:sz w:val="24"/>
          <w:szCs w:val="24"/>
        </w:rPr>
      </w:pPr>
    </w:p>
    <w:p w:rsidR="003D4946" w:rsidRDefault="003D4946" w:rsidP="003D4946">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2 - Перечень учитываемых документов стратегического планирования Псковской области</w:t>
      </w:r>
    </w:p>
    <w:tbl>
      <w:tblPr>
        <w:tblStyle w:val="aa"/>
        <w:tblW w:w="0" w:type="auto"/>
        <w:tblLook w:val="04A0" w:firstRow="1" w:lastRow="0" w:firstColumn="1" w:lastColumn="0" w:noHBand="0" w:noVBand="1"/>
      </w:tblPr>
      <w:tblGrid>
        <w:gridCol w:w="959"/>
        <w:gridCol w:w="5327"/>
        <w:gridCol w:w="3143"/>
      </w:tblGrid>
      <w:tr w:rsidR="00C93BB4" w:rsidTr="00C93BB4">
        <w:tc>
          <w:tcPr>
            <w:tcW w:w="959"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 п/п</w:t>
            </w:r>
          </w:p>
        </w:tc>
        <w:tc>
          <w:tcPr>
            <w:tcW w:w="5327"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Наименования программы</w:t>
            </w:r>
          </w:p>
        </w:tc>
        <w:tc>
          <w:tcPr>
            <w:tcW w:w="3143" w:type="dxa"/>
            <w:vAlign w:val="center"/>
          </w:tcPr>
          <w:p w:rsidR="00C93BB4" w:rsidRPr="003D4946" w:rsidRDefault="00C93BB4" w:rsidP="008F1469">
            <w:pPr>
              <w:jc w:val="both"/>
              <w:rPr>
                <w:rFonts w:ascii="Times New Roman" w:hAnsi="Times New Roman" w:cs="Times New Roman"/>
                <w:b/>
                <w:sz w:val="24"/>
                <w:szCs w:val="24"/>
              </w:rPr>
            </w:pPr>
            <w:r w:rsidRPr="003D4946">
              <w:rPr>
                <w:rFonts w:ascii="Times New Roman" w:hAnsi="Times New Roman" w:cs="Times New Roman"/>
                <w:b/>
                <w:sz w:val="24"/>
                <w:szCs w:val="24"/>
              </w:rPr>
              <w:t>Нормативно-правовой акт</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«Развития здравоохранения»</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29 декабря 2023 года №544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 xml:space="preserve">Государственная программа Псковской области «Развитие образования и повышение эффективности реализации молодежной </w:t>
            </w:r>
            <w:r w:rsidRPr="003D4946">
              <w:rPr>
                <w:rFonts w:ascii="Times New Roman" w:hAnsi="Times New Roman" w:cs="Times New Roman"/>
                <w:sz w:val="24"/>
                <w:szCs w:val="24"/>
              </w:rPr>
              <w:lastRenderedPageBreak/>
              <w:t>политики»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Постановление Правительства Псковской области от 29 января 2024 г. </w:t>
            </w:r>
            <w:r w:rsidRPr="003D4946">
              <w:rPr>
                <w:rFonts w:ascii="Times New Roman" w:hAnsi="Times New Roman" w:cs="Times New Roman"/>
                <w:sz w:val="24"/>
                <w:szCs w:val="24"/>
              </w:rPr>
              <w:lastRenderedPageBreak/>
              <w:t>№22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lastRenderedPageBreak/>
              <w:t>3</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«Культура, сохранение культурного наследия»</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18 декабря 2023 г. №485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физической культуры и спорта»</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29 декабря 2023 г. № 555 и Министерство спорта псковской области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«Содействие экономическому развитию, инвестиционной и внешнеэкономической деятельности»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25 декабря 2023 г. № 511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транспортной системы»</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22 декабря 2023 г. № 505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7</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Государственная программа Псковской области «Развитие туризма в Псковской области»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Правительства Псковской области от 28 декабря 2023 г. № 536 (с последующими изменениями)</w:t>
            </w:r>
          </w:p>
        </w:tc>
      </w:tr>
      <w:tr w:rsidR="00C93BB4" w:rsidTr="00C93BB4">
        <w:tc>
          <w:tcPr>
            <w:tcW w:w="959"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5327"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«Об утверждении положений о государственных природных зоологических заказниках Псковской области»</w:t>
            </w:r>
          </w:p>
        </w:tc>
        <w:tc>
          <w:tcPr>
            <w:tcW w:w="3143" w:type="dxa"/>
            <w:vAlign w:val="center"/>
          </w:tcPr>
          <w:p w:rsidR="00C93BB4" w:rsidRPr="003D4946" w:rsidRDefault="00C93BB4" w:rsidP="008F1469">
            <w:pPr>
              <w:jc w:val="both"/>
              <w:rPr>
                <w:rFonts w:ascii="Times New Roman" w:hAnsi="Times New Roman" w:cs="Times New Roman"/>
                <w:sz w:val="24"/>
                <w:szCs w:val="24"/>
              </w:rPr>
            </w:pPr>
            <w:r w:rsidRPr="003D4946">
              <w:rPr>
                <w:rFonts w:ascii="Times New Roman" w:hAnsi="Times New Roman" w:cs="Times New Roman"/>
                <w:sz w:val="24"/>
                <w:szCs w:val="24"/>
              </w:rPr>
              <w:t>Постановление администрации Псковской области от 27 июня 2005 г. № 266 (с последующими изменениями)</w:t>
            </w:r>
          </w:p>
        </w:tc>
      </w:tr>
    </w:tbl>
    <w:p w:rsidR="00C93BB4" w:rsidRDefault="00C93BB4" w:rsidP="003D4946">
      <w:pPr>
        <w:spacing w:after="0" w:line="240" w:lineRule="auto"/>
        <w:jc w:val="both"/>
        <w:rPr>
          <w:rFonts w:ascii="Times New Roman" w:hAnsi="Times New Roman" w:cs="Times New Roman"/>
          <w:b/>
          <w:sz w:val="24"/>
          <w:szCs w:val="24"/>
        </w:rPr>
      </w:pPr>
    </w:p>
    <w:p w:rsidR="003D4946" w:rsidRDefault="003D4946" w:rsidP="003D4946">
      <w:pPr>
        <w:spacing w:after="0" w:line="240" w:lineRule="auto"/>
        <w:jc w:val="both"/>
        <w:rPr>
          <w:rFonts w:ascii="Times New Roman" w:hAnsi="Times New Roman" w:cs="Times New Roman"/>
          <w:b/>
          <w:sz w:val="24"/>
          <w:szCs w:val="24"/>
        </w:rPr>
      </w:pPr>
    </w:p>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3 - Перечень муниципальных программ муниципального образования "Новоржевский район" на период 2020 - 2024 годов (утвержден Постановлением Администрации Новоржевского района псковской области от 27.12.2019 г. № 133)</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59"/>
        <w:gridCol w:w="2958"/>
        <w:gridCol w:w="2898"/>
        <w:gridCol w:w="2514"/>
      </w:tblGrid>
      <w:tr w:rsidR="003D4946" w:rsidRPr="003D4946" w:rsidTr="003D4946">
        <w:trPr>
          <w:trHeight w:val="23"/>
          <w:tblHeader/>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N</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муниципальной программы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цели муниципальной программы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ответственного исполнителя муниципальной программы</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образования и повышение эффективности реализации молодежной политики на 2020 - 2024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доступности и качества образования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образования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2</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культуры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МБУК "Новоржевский районный культурно-спортивный комплекс"</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3</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"Управление муниципальным имуществом и земельными ресурсами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устойчивого социально-экономического развития района</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по экономическому развитию, имущественным и земельным отношениям и территориальному планированию Комитета по экономическому развитию, жилищно-строительным вопросам, сельского хозяйства и природных ресурсов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"Комплексное развитие систем коммунальной инфраструктуры и благоустройства муниципального образования "Новоржевский район" на 2020 - 2024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систем и объектов коммунальной инфраструктуры и благоустройство территории, повышение доступности жилья для жителей муниципального образования "Новоржевский район"</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ЖКХ, промышленности, транспорта, связи, строительства и архитектуры Комитета 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транспортного обслуживания населения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безопасного и бесперебойного движения автомобильного транспорта путем развития современной и эффективной автомобильно- дорожной инфраструктуры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ЖКХ, промышленности, транспорта, связи, строительства и архитектуры Комитета 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"Управление и обеспечение </w:t>
            </w:r>
            <w:r w:rsidRPr="003D4946">
              <w:rPr>
                <w:rFonts w:ascii="Times New Roman" w:hAnsi="Times New Roman" w:cs="Times New Roman"/>
                <w:sz w:val="24"/>
                <w:szCs w:val="24"/>
              </w:rPr>
              <w:lastRenderedPageBreak/>
              <w:t>деятельности Администрации Новоржевского района, создание условий для эффективного управления муниципальными финансами и муниципальным долгом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Эффективное выполнение </w:t>
            </w:r>
            <w:r w:rsidRPr="003D4946">
              <w:rPr>
                <w:rFonts w:ascii="Times New Roman" w:hAnsi="Times New Roman" w:cs="Times New Roman"/>
                <w:sz w:val="24"/>
                <w:szCs w:val="24"/>
              </w:rPr>
              <w:lastRenderedPageBreak/>
              <w:t>муниципальных и социальных функций, обеспечение долгосрочной устойчивости бюджетной системы</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Отдел бюджетного </w:t>
            </w:r>
            <w:r w:rsidRPr="003D4946">
              <w:rPr>
                <w:rFonts w:ascii="Times New Roman" w:hAnsi="Times New Roman" w:cs="Times New Roman"/>
                <w:sz w:val="24"/>
                <w:szCs w:val="24"/>
              </w:rPr>
              <w:lastRenderedPageBreak/>
              <w:t>обеспечения, отчетности и кадрового учета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7</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общественного порядка и противодействие преступности и коррупции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общественного порядка и противодействие преступности</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"Социальная поддержка граждан на территории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Комплексное решение проблем, направленных на обеспечение достойной жизни слабозащищенных слоев населения Новоржевского района,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9</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"Формирование современной городской среды муниципального образования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Повышение уровня благоустройства муниципального образования "Новоржевский район"</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 ЖКХ, промышленности, транспорта, связи, строительства и архитектуры Комитета по экономическому развитию, жилищно-строительным вопросам, сельского хозяйства и природных ресурсов</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10</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физической культуры и спорта в муниципальном образовании "Новоржевский район"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условий для поддержки перспективных направлений развития спорта,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МБУК "Новоржевский районный культурно-спортивный комплекс"</w:t>
            </w:r>
          </w:p>
        </w:tc>
      </w:tr>
      <w:tr w:rsidR="003D4946" w:rsidRPr="003D4946" w:rsidTr="003D4946">
        <w:trPr>
          <w:trHeight w:val="23"/>
        </w:trPr>
        <w:tc>
          <w:tcPr>
            <w:tcW w:w="465"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11</w:t>
            </w:r>
          </w:p>
        </w:tc>
        <w:tc>
          <w:tcPr>
            <w:tcW w:w="160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"Сохранение и укрепление общественного здоровья населения Новоржевского района на 2020-2024 годы"</w:t>
            </w:r>
          </w:p>
        </w:tc>
        <w:tc>
          <w:tcPr>
            <w:tcW w:w="1570"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tc>
        <w:tc>
          <w:tcPr>
            <w:tcW w:w="1362" w:type="pct"/>
            <w:tcBorders>
              <w:tl2br w:val="nil"/>
              <w:tr2bl w:val="nil"/>
            </w:tcBorders>
            <w:shd w:val="clear" w:color="auto" w:fill="auto"/>
            <w:vAlign w:val="center"/>
          </w:tcPr>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Заместитель Главы Администрации района, председатель комитета по социальной политике Администрации Новоржевского района</w:t>
            </w:r>
          </w:p>
        </w:tc>
      </w:tr>
    </w:tbl>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Кроме того, на рассматриваемой территории действует:</w:t>
      </w:r>
    </w:p>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Муниципальная адресная программа "Переселение граждан из аварийного жилищного фонда в 2019-2025 годах на территории муниципального образования "Новоржевский район", утвержденная постановлением Администрации Новоржевского района от 16.05.2019 года № 50.</w:t>
      </w:r>
    </w:p>
    <w:p w:rsidR="003D4946" w:rsidRPr="003D4946" w:rsidRDefault="003D4946" w:rsidP="003D4946">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Федеральный проект Минстроя России «Формирование комфортной городской среды», стартовавший в 2019 году.</w:t>
      </w: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Default="003D4946" w:rsidP="00A06F48">
      <w:pPr>
        <w:spacing w:after="0" w:line="240" w:lineRule="auto"/>
        <w:jc w:val="both"/>
        <w:rPr>
          <w:rFonts w:ascii="Times New Roman" w:hAnsi="Times New Roman" w:cs="Times New Roman"/>
          <w:sz w:val="24"/>
          <w:szCs w:val="24"/>
        </w:rPr>
      </w:pPr>
    </w:p>
    <w:p w:rsidR="003D4946" w:rsidRPr="001A68B2" w:rsidRDefault="003D4946" w:rsidP="00A06F48">
      <w:pPr>
        <w:spacing w:after="0" w:line="240" w:lineRule="auto"/>
        <w:jc w:val="both"/>
        <w:rPr>
          <w:rFonts w:ascii="Times New Roman" w:hAnsi="Times New Roman" w:cs="Times New Roman"/>
          <w:sz w:val="24"/>
          <w:szCs w:val="24"/>
        </w:rPr>
      </w:pPr>
    </w:p>
    <w:p w:rsidR="001A68B2" w:rsidRDefault="001A68B2" w:rsidP="001A68B2">
      <w:pPr>
        <w:rPr>
          <w:rFonts w:ascii="Times New Roman" w:hAnsi="Times New Roman" w:cs="Times New Roman"/>
          <w:sz w:val="24"/>
          <w:szCs w:val="24"/>
        </w:rPr>
      </w:pPr>
    </w:p>
    <w:p w:rsidR="003D4946" w:rsidRDefault="003D4946" w:rsidP="001A68B2">
      <w:pPr>
        <w:rPr>
          <w:rFonts w:ascii="Times New Roman" w:hAnsi="Times New Roman" w:cs="Times New Roman"/>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10" w:name="_Toc788"/>
      <w:bookmarkStart w:id="11" w:name="_Toc216434231"/>
      <w:r w:rsidRPr="003D4946">
        <w:rPr>
          <w:rFonts w:ascii="Times New Roman" w:hAnsi="Times New Roman" w:cs="Times New Roman"/>
          <w:b/>
          <w:bCs/>
          <w:sz w:val="24"/>
          <w:szCs w:val="24"/>
        </w:rPr>
        <w:lastRenderedPageBreak/>
        <w:t>3.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bookmarkEnd w:id="10"/>
      <w:bookmarkEnd w:id="11"/>
    </w:p>
    <w:p w:rsidR="00144ACF" w:rsidRDefault="00144ACF" w:rsidP="00144ACF">
      <w:pPr>
        <w:spacing w:after="0" w:line="240" w:lineRule="auto"/>
        <w:jc w:val="center"/>
        <w:rPr>
          <w:rFonts w:ascii="Times New Roman" w:hAnsi="Times New Roman" w:cs="Times New Roman"/>
          <w:b/>
          <w:bCs/>
          <w:i/>
          <w:sz w:val="24"/>
          <w:szCs w:val="24"/>
        </w:rPr>
      </w:pPr>
      <w:bookmarkStart w:id="12" w:name="_Toc227763206"/>
      <w:bookmarkStart w:id="13" w:name="_Toc216434232"/>
      <w:bookmarkStart w:id="14" w:name="_Toc216772308"/>
    </w:p>
    <w:p w:rsidR="003D4946" w:rsidRPr="003D4946" w:rsidRDefault="003D4946" w:rsidP="00144ACF">
      <w:pPr>
        <w:spacing w:after="0" w:line="240" w:lineRule="auto"/>
        <w:jc w:val="center"/>
        <w:rPr>
          <w:rFonts w:ascii="Times New Roman" w:hAnsi="Times New Roman" w:cs="Times New Roman"/>
          <w:b/>
          <w:bCs/>
          <w:i/>
          <w:sz w:val="24"/>
          <w:szCs w:val="24"/>
        </w:rPr>
      </w:pPr>
      <w:r w:rsidRPr="003D4946">
        <w:rPr>
          <w:rFonts w:ascii="Times New Roman" w:hAnsi="Times New Roman" w:cs="Times New Roman"/>
          <w:b/>
          <w:bCs/>
          <w:i/>
          <w:sz w:val="24"/>
          <w:szCs w:val="24"/>
        </w:rPr>
        <w:t xml:space="preserve">3.1. </w:t>
      </w:r>
      <w:bookmarkEnd w:id="12"/>
      <w:r w:rsidRPr="003D4946">
        <w:rPr>
          <w:rFonts w:ascii="Times New Roman" w:hAnsi="Times New Roman" w:cs="Times New Roman"/>
          <w:b/>
          <w:bCs/>
          <w:i/>
          <w:sz w:val="24"/>
          <w:szCs w:val="24"/>
        </w:rPr>
        <w:t>Анализ использования территории</w:t>
      </w:r>
      <w:bookmarkEnd w:id="13"/>
    </w:p>
    <w:p w:rsidR="003D4946" w:rsidRPr="003D4946" w:rsidRDefault="003D4946" w:rsidP="00144ACF">
      <w:pPr>
        <w:spacing w:after="0" w:line="240" w:lineRule="auto"/>
        <w:rPr>
          <w:rFonts w:ascii="Times New Roman" w:hAnsi="Times New Roman" w:cs="Times New Roman"/>
          <w:b/>
          <w:bCs/>
          <w:i/>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15" w:name="_Toc216434233"/>
      <w:r w:rsidRPr="003D4946">
        <w:rPr>
          <w:rFonts w:ascii="Times New Roman" w:hAnsi="Times New Roman" w:cs="Times New Roman"/>
          <w:b/>
          <w:bCs/>
          <w:sz w:val="24"/>
          <w:szCs w:val="24"/>
        </w:rPr>
        <w:t>3.1.1. Территориальное устройство</w:t>
      </w:r>
      <w:bookmarkEnd w:id="15"/>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расположен в центральной части Псковской области. Он образован в 1935 году. Район вытянут с запада на восток на 30км, а с севера на юг на 75 км. На северо-западе район граничит с Островским, на севере - с Порховским, на северо-востоке - с Дедовичским, на востоке - с Бежаницким, на западе и юго-западе - с Пушкиногорским и Опочецким муниципальным округом. Естественные границы не выражены. Площадь района — 1682 кв. км.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состав района входит 4 муниципальных образования: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- 1 городское поселение - «Новоржев» и 3 сельских поселения, объединяющих 438 населенных пунктов. Административным центром района является город Новоржев.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Административное деление района: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городское поселение «Новоржев»;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поселение - «Выборская волость»;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поселение - «Вехнянская волость»;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сельское поселение - «Новоржевская волость».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Расстояние до областного центра г. Псков – 144 км. Общая площадь района составляет 1683 кв. км (3,2 % площади Псковской области).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Численность населения района на 1.01.2022 г. составила 7,5 тыс. чел, в т.ч. 3,1 тыс. чел. (37,9 % населения) проживает в городе Новоржев.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Развитая сеть транспортной инфраструктуры представлена дорогами регионального или межмуниципального и местного значения.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Важнейшую транспортную артерию составляют автодороги общего пользования регионального или межмуниципального значения направления Псков — Великие Луки.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относится к числу сельских районов. В основе экономического потенциала района – использование местных ресурсов: развитие сельского хозяйства и лесопереработки. Промышленный потенциал незначителен, но играет существенную роль в экономике района. В структуре экономики района значительное место занимает перерабатывающая отрасль промышленности, услуги населению и розничная торговля. Сельское хозяйство района имеет молочно-мясную специализацию. В отрасли растениеводства набор возделываемых сельскохозяйственных культур крайне ограничен: здесь выращивают лен долгунец, зерновые на фураж, картофель и кормовые травы.</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Район располагает значительными водными ресурсами. Наиболее крупными озерами в районе являются: Посадниковское, Орша, Вехно и Чернозерье. Наиболее крупные реки – Сороть, Льста.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Новоржевский район является чистой в экологическом отношении территорией, что объясняется отсутствием крупных предприятий, вредных производств, удалённостью большей части территории района от автомагистралей. </w:t>
      </w:r>
    </w:p>
    <w:p w:rsidR="003D4946" w:rsidRPr="003D4946" w:rsidRDefault="003D4946" w:rsidP="00144ACF">
      <w:pPr>
        <w:spacing w:after="0" w:line="240" w:lineRule="auto"/>
        <w:rPr>
          <w:rFonts w:ascii="Times New Roman" w:hAnsi="Times New Roman" w:cs="Times New Roman"/>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bookmarkStart w:id="16" w:name="_Toc216434234"/>
      <w:r w:rsidRPr="003D4946">
        <w:rPr>
          <w:rFonts w:ascii="Times New Roman" w:hAnsi="Times New Roman" w:cs="Times New Roman"/>
          <w:b/>
          <w:bCs/>
          <w:sz w:val="24"/>
          <w:szCs w:val="24"/>
        </w:rPr>
        <w:t>3.1.2. Границы муниципального образования (описание границ муниципального образования)</w:t>
      </w:r>
      <w:bookmarkEnd w:id="16"/>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Территориально муниципальное образование «Новоржзевский район» граничит:</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севере — с Порховским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северо-востоке – с Дедовичским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на востоке — с Бежаницким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юге — с Вехнянской волостью Новоржевского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западе — с Пушкиногорским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на северо-западе — с Островским районом.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Граница идёт от слияния р. Милья и р.Сороть  вдоль р. Сороть до границы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Далее граница проходит в западном направлении от места слияния рек Сороть, Карузка, в западном направлении идет по течению 1,7 км, далее продолжает идти ломаной линией мимо д.д. Рудино, Партизанская Гора, Гурово, затем граница меняет направление на северо-западное, продолжает идти ломаной линией по лесу, идет мимо д. Лазовка, проходит между урочищами Шубки и Ульяненки, далее граница идет в северо-восточном направлении, огибает урочище Леонково, далее идет между урочищем Недосеки и н.п. Мосеево, пересекает р. Якимовская, идет ломаной линией по лесу между н.п.п. Владимирово и Марьино, идет между н.п.п. Безмалиха и Большая Екиманка, затем граница меняет направление на восточное, пересекает р. Вивка, огибает н.п. Шараново до автодороги Остров — Новоржев. Далее проходит в северо-восточном направлении от автодороги Погорелка — Выбор, доходит до р. Рудинка, идет по левому берегу р. Рудинка, идет ломаной линией по лесу между н.п. Никитино и ур. Клитино, далее идет в северном направлении мимо н.п. Исаково, пересекает р. Выборка, идет по левому берегу р. Выборка между урочищем Новожилы и н.п. Корнышено, мимо н.п. Карпилово, пересекает р. Выборка и идёт ломаной линией по лесу, дважды пересекая ручей, идет через ур. Озерки, меняет направление на северо-восточное, пересекает озеро Дьяки, продолжает идти ломаной линией по лесу, проходит между оз. Перетес и н.п. Чухонское, подходит к притоку оз. Перетес, идет ломаной линией вдоль правого берега истока, далее идет по правому берегу истока до лесной просеки в северо-западном направлении, пересекает реку Лиственка, проходит по правому берегу р. Лиственка вверх по течению 2 км, далее идет ломаной линией по лесу в юго-восточном направлении, пересекает р. Лиственка, подходит к оз. Слепец, огибает н.п. Шариха, огибает н.п. Феклистово, огибает урочище Евсейково.</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Далее граница проходит в северо-восточном направлении от ур. Евсейково ломаной линией, а частично по лесным просекам идет в северо-восточном направлении. Проходит ур. Трухново, далее меняет направление на юго-восточное. Доходит до оз. Чернозерье, идет по северному берегу озера Чернозерье, идет севернее озера Гувнихино. Меняет направление на северо-восточное, пересекает ручей, впадающий в озеро Сево. Огибает с юго-западной стороны озеро Сево, продолжает идти ломаной линией по лесу в юго-восточном направлении, пересекает р. Севка, идет по левому берегу р. Севка вниз по течению 1,4 км до впадения в нее притока, идет по правому берегу притока р. Севка вверх по течению 1 км, далее идет ломаной линией по лесу в юго-восточном направлении мимо н.п. Пустошка, ур. Долгуши, пересекает р. Севка, огибает ур. Леонтьево и до дороги Сорокино - Выбор, пересекает автодорогу Выбор — Сорокино и в южном направлении ломаной линией проходит по лесу вдоль левого берега р. Севка и огибает н.п.п. Мясово и Новины. Далее идет в южном направлении ломаной линией по лесу, огибает ур. Плитино, проходит восточнее ур. Селиваново, н.п. Грибаново, ур. Камешек и до дороги в ур. Голодушино, далее в юго-западном направлении пересекает канаву, затем идет вдоль мелиоративных канав, ломаной линией идет по лесу в юго-восточном направлении, пересекает р. Занога, проходит между н.п.п. Красное Кузино и Кириллово и до р. Уда.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Далее граница проходит в западном направлении по р. Уда, по течению р. Сороть до устья р. Милья.</w:t>
      </w:r>
    </w:p>
    <w:p w:rsidR="003D4946" w:rsidRPr="003D4946" w:rsidRDefault="003D4946" w:rsidP="00144ACF">
      <w:pPr>
        <w:spacing w:after="0" w:line="240" w:lineRule="auto"/>
        <w:rPr>
          <w:rFonts w:ascii="Times New Roman" w:hAnsi="Times New Roman" w:cs="Times New Roman"/>
          <w:sz w:val="24"/>
          <w:szCs w:val="24"/>
        </w:rPr>
      </w:pPr>
    </w:p>
    <w:p w:rsidR="00144ACF" w:rsidRDefault="00144ACF" w:rsidP="00144ACF">
      <w:pPr>
        <w:spacing w:after="0" w:line="240" w:lineRule="auto"/>
        <w:jc w:val="center"/>
        <w:rPr>
          <w:rFonts w:ascii="Times New Roman" w:hAnsi="Times New Roman" w:cs="Times New Roman"/>
          <w:b/>
          <w:bCs/>
          <w:sz w:val="24"/>
          <w:szCs w:val="24"/>
        </w:rPr>
      </w:pPr>
      <w:bookmarkStart w:id="17" w:name="_Toc216434235"/>
    </w:p>
    <w:p w:rsidR="00144ACF" w:rsidRDefault="00144ACF" w:rsidP="00144ACF">
      <w:pPr>
        <w:spacing w:after="0" w:line="240" w:lineRule="auto"/>
        <w:jc w:val="center"/>
        <w:rPr>
          <w:rFonts w:ascii="Times New Roman" w:hAnsi="Times New Roman" w:cs="Times New Roman"/>
          <w:b/>
          <w:bCs/>
          <w:sz w:val="24"/>
          <w:szCs w:val="24"/>
        </w:rPr>
      </w:pPr>
    </w:p>
    <w:p w:rsidR="00144ACF" w:rsidRDefault="00144ACF" w:rsidP="00144ACF">
      <w:pPr>
        <w:spacing w:after="0" w:line="240" w:lineRule="auto"/>
        <w:jc w:val="center"/>
        <w:rPr>
          <w:rFonts w:ascii="Times New Roman" w:hAnsi="Times New Roman" w:cs="Times New Roman"/>
          <w:b/>
          <w:bCs/>
          <w:sz w:val="24"/>
          <w:szCs w:val="24"/>
        </w:rPr>
      </w:pPr>
    </w:p>
    <w:p w:rsidR="003D4946" w:rsidRPr="003D4946" w:rsidRDefault="003D4946" w:rsidP="00144ACF">
      <w:pPr>
        <w:spacing w:after="0" w:line="240" w:lineRule="auto"/>
        <w:jc w:val="center"/>
        <w:rPr>
          <w:rFonts w:ascii="Times New Roman" w:hAnsi="Times New Roman" w:cs="Times New Roman"/>
          <w:b/>
          <w:bCs/>
          <w:sz w:val="24"/>
          <w:szCs w:val="24"/>
        </w:rPr>
      </w:pPr>
      <w:r w:rsidRPr="003D4946">
        <w:rPr>
          <w:rFonts w:ascii="Times New Roman" w:hAnsi="Times New Roman" w:cs="Times New Roman"/>
          <w:b/>
          <w:bCs/>
          <w:sz w:val="24"/>
          <w:szCs w:val="24"/>
        </w:rPr>
        <w:lastRenderedPageBreak/>
        <w:t>3.1.3. Природные условия и ресурсы</w:t>
      </w:r>
      <w:bookmarkEnd w:id="17"/>
    </w:p>
    <w:p w:rsidR="003D4946" w:rsidRPr="003D4946" w:rsidRDefault="003D4946" w:rsidP="00144ACF">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Климат</w:t>
      </w:r>
      <w:bookmarkEnd w:id="14"/>
    </w:p>
    <w:p w:rsidR="003D4946" w:rsidRPr="003D4946" w:rsidRDefault="003D4946" w:rsidP="00144ACF">
      <w:pPr>
        <w:spacing w:after="0" w:line="240" w:lineRule="auto"/>
        <w:jc w:val="both"/>
        <w:rPr>
          <w:rFonts w:ascii="Times New Roman" w:hAnsi="Times New Roman" w:cs="Times New Roman"/>
          <w:sz w:val="24"/>
          <w:szCs w:val="24"/>
        </w:rPr>
      </w:pPr>
      <w:bookmarkStart w:id="18" w:name="_Toc296717521"/>
      <w:bookmarkStart w:id="19" w:name="_Toc297109161"/>
      <w:bookmarkStart w:id="20" w:name="_Toc296717724"/>
      <w:bookmarkStart w:id="21" w:name="_Toc297111181"/>
      <w:bookmarkStart w:id="22" w:name="_Toc296699450"/>
      <w:bookmarkStart w:id="23" w:name="_Toc216772309"/>
      <w:bookmarkStart w:id="24" w:name="_Toc167275004"/>
      <w:r w:rsidRPr="003D4946">
        <w:rPr>
          <w:rFonts w:ascii="Times New Roman" w:hAnsi="Times New Roman" w:cs="Times New Roman"/>
          <w:sz w:val="24"/>
          <w:szCs w:val="24"/>
        </w:rPr>
        <w:t xml:space="preserve">Климат Новоржевского района умеренно-континентальный, влажный. Среднегодовая температура воздуха равна +4,6°С. В январе среднемесячная температура -7,8°С, в июле - +17,4°С. Абсолютный минимум - 42°С – наблюдался в январе. </w:t>
      </w:r>
      <w:bookmarkStart w:id="25" w:name="_Toc297109162"/>
      <w:bookmarkStart w:id="26" w:name="_Toc296699451"/>
      <w:bookmarkStart w:id="27" w:name="_Toc296717725"/>
      <w:bookmarkStart w:id="28" w:name="_Toc297111182"/>
      <w:bookmarkStart w:id="29" w:name="_Toc296717522"/>
      <w:bookmarkEnd w:id="18"/>
      <w:bookmarkEnd w:id="19"/>
      <w:bookmarkEnd w:id="20"/>
      <w:bookmarkEnd w:id="21"/>
      <w:bookmarkEnd w:id="22"/>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Сумма биологически эффективных средних суточных температур за общий вегетационный период (выше 5 градусов) составляет 2320°С, за период активной вегетации (выше 10 °С) - 1990 °С, за время с температурой выше 15 °С - 1120 °С. На крайнем юге и на севере района, в пределах Бежаницкой и Судомской возвышенностей, суммы температур меньше. Изменчивость сумм температур из года в год велика.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Продолжительность безморозного периода около 135 дн</w:t>
      </w:r>
      <w:bookmarkEnd w:id="25"/>
      <w:bookmarkEnd w:id="26"/>
      <w:bookmarkEnd w:id="27"/>
      <w:bookmarkEnd w:id="28"/>
      <w:bookmarkEnd w:id="29"/>
      <w:r w:rsidRPr="003D4946">
        <w:rPr>
          <w:rFonts w:ascii="Times New Roman" w:hAnsi="Times New Roman" w:cs="Times New Roman"/>
          <w:sz w:val="24"/>
          <w:szCs w:val="24"/>
        </w:rPr>
        <w:t>ей, на склонах и вершинах возвышенностей он длиннее на 2-3 недели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Годовая сумма осадков составляет 585 мм. В пределах возвышенностей на севере и особенно на юге количество осадков увеличивается до 640-660 мм.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Снежный покров устанавливается в среднем в середине декабря и разрушается в конце марта. Средняя продолжительность устойчивого снежного покрова около 110 дней. Высота его на открытых полях достигает 25-30 см. Примерно 15% зим не имеют устойчивого снежного покрова, а 1 раз в 3 года высота его в течение всей зимы бывает меньше 10 см.</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Преобладающие ветры – юго-западные и южные. Среднегодовая скорость ветра составляет 4,2 м/сек.</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Согласно СНиП 23-01-99 «Строительная климатология» территория Новоржевского района по климатическому районированию относится к строительно-климатической зоне IIB, характеризуемой как благоприятная для селитебных целей.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Выводы: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климатические условия территории благоприятны для гражданского и промышленного строительства и для развития рекреации;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агроклиматические условия района являются благоприятными для возделывания зерновых культур на фураж, многолетних трав, пропашных и технических культур.</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при размещении объектов гражданского строительства, промышленности и иных источников загрязнения окружающей среды необходимо учитывать розу ветров, более детально проанализировать рассеивающие способности атмосферы (температурные инверсии, туманы и др.), негативное влияние погодных явлений (сильные ветра, метели, и др.).</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Гидрологическая и гидрогеологическая характеристика</w:t>
      </w:r>
      <w:bookmarkEnd w:id="23"/>
      <w:bookmarkEnd w:id="24"/>
    </w:p>
    <w:p w:rsidR="003D4946" w:rsidRPr="003D4946" w:rsidRDefault="003D4946" w:rsidP="00144ACF">
      <w:pPr>
        <w:spacing w:after="0" w:line="240" w:lineRule="auto"/>
        <w:jc w:val="both"/>
        <w:rPr>
          <w:rFonts w:ascii="Times New Roman" w:hAnsi="Times New Roman" w:cs="Times New Roman"/>
          <w:sz w:val="24"/>
          <w:szCs w:val="24"/>
        </w:rPr>
      </w:pPr>
      <w:bookmarkStart w:id="30" w:name="_Toc216772310"/>
      <w:r w:rsidRPr="003D4946">
        <w:rPr>
          <w:rFonts w:ascii="Times New Roman" w:hAnsi="Times New Roman" w:cs="Times New Roman"/>
          <w:sz w:val="24"/>
          <w:szCs w:val="24"/>
        </w:rPr>
        <w:t>Водные ресурсы Новоржевского района складываются из поверхностных и подземных вод.</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Поверхностные воды</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Все реки Новоржевского района относятся к Балтийскому бассейновому округу.</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Река Сороть вытекает из озера Михалкинского и пересекает территорию района с востока на запад на протяжении 46 км (общая длина р. Сороть 66 км).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падение реки Сороть в пределах района З,4 м, что составляет 7,4 см на 1 км длины реки. В связи с этим преобладают небольшие скорости течения — от 0,1 до 0,3 м/сек и только на перекатах увеличиваются до 0,5 м/сек. Дно реки песчаное, местами илистое, а близ деревни Осинкино — каменистое на протяжении 1 км. Средняя ширина русла реки от 30 до 50 м при глубине 1,5-2,5 м. Берега обычно обрывистые, часто покрыты зарослями ивы и ольхи.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Река Сороть отличается полноводностью. Среднемноголетний расход воды в ней у села Осинкино (среднее течение) 26,2 куб. м/сек.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Вследствие падения высот поверхности района с севера и юга к центру, все основные притоки реки Сороть текут под углом к ней. Наиболее крупными из них являются: </w:t>
      </w:r>
      <w:r w:rsidRPr="003D4946">
        <w:rPr>
          <w:rFonts w:ascii="Times New Roman" w:hAnsi="Times New Roman" w:cs="Times New Roman"/>
          <w:sz w:val="24"/>
          <w:szCs w:val="24"/>
        </w:rPr>
        <w:lastRenderedPageBreak/>
        <w:t>левобережные притоки река Льста с Оршицей, правобережные притоки — реки Севка и Милья.</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Река Льста на территории района протекает только нижним течением. Между деревнями Ермолино и Леушино река Льста течет в глубоко врезанных берегах. Ниже по течению долина реки Льсты выражена плохо. Благодаря низким берегам река Льста весною широко разливается и нередко меняет течение, ежегодно размывая значительные пространства культурных земель.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Многие реки, впадающие в Льсту и Сороть, имеют низкие берега, поэтому весной широко разливаются, затопляя большие пространства земель.</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Все реки района имеют смешанное питание с преобладанием снегового и почти с одинаковой долей дождевого и грунтового. Водный режим характеризуется чётко выраженным весенним половодьем, низкой летней меженью, прерываемой дождевыми паводками, и устойчивой продолжительной зимней меженью. Зарегулированность рек незначительная. Ледостав обычно с конца декабря по март. Ледоход непродолжительный.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Вода в реках слабомутная, коричневатого цвета за счет болотных вод.</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Все реки несудоходны. В прошлом реки Сороть и Льста использовались для сплава, а первая и для транспортных перевозок на небольших катерах.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Также на территории района расположено более ста больших и малых озер.</w:t>
      </w:r>
    </w:p>
    <w:p w:rsidR="003D4946" w:rsidRPr="003D4946" w:rsidRDefault="003D4946" w:rsidP="00144ACF">
      <w:pPr>
        <w:spacing w:after="0" w:line="240" w:lineRule="auto"/>
        <w:jc w:val="both"/>
        <w:rPr>
          <w:rFonts w:ascii="Times New Roman" w:hAnsi="Times New Roman" w:cs="Times New Roman"/>
          <w:b/>
          <w:bCs/>
          <w:sz w:val="24"/>
          <w:szCs w:val="24"/>
        </w:rPr>
      </w:pPr>
    </w:p>
    <w:p w:rsidR="003D4946" w:rsidRDefault="003D4946" w:rsidP="00144ACF">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4 - Перечень наиболее крупных озер на территории муниципального образования</w:t>
      </w:r>
    </w:p>
    <w:tbl>
      <w:tblPr>
        <w:tblStyle w:val="aa"/>
        <w:tblW w:w="0" w:type="auto"/>
        <w:tblLook w:val="04A0" w:firstRow="1" w:lastRow="0" w:firstColumn="1" w:lastColumn="0" w:noHBand="0" w:noVBand="1"/>
      </w:tblPr>
      <w:tblGrid>
        <w:gridCol w:w="817"/>
        <w:gridCol w:w="2954"/>
        <w:gridCol w:w="1886"/>
        <w:gridCol w:w="1886"/>
        <w:gridCol w:w="1886"/>
      </w:tblGrid>
      <w:tr w:rsidR="00144ACF" w:rsidTr="00144ACF">
        <w:tc>
          <w:tcPr>
            <w:tcW w:w="817"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 п/п</w:t>
            </w:r>
          </w:p>
        </w:tc>
        <w:tc>
          <w:tcPr>
            <w:tcW w:w="2954"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Название водного объекта</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Площадь зеркала, га</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Глубина, м</w:t>
            </w:r>
          </w:p>
        </w:tc>
        <w:tc>
          <w:tcPr>
            <w:tcW w:w="1886" w:type="dxa"/>
            <w:vAlign w:val="center"/>
          </w:tcPr>
          <w:p w:rsidR="00144ACF" w:rsidRPr="00144ACF" w:rsidRDefault="00144ACF" w:rsidP="008F1469">
            <w:pPr>
              <w:jc w:val="both"/>
              <w:rPr>
                <w:rFonts w:ascii="Times New Roman" w:hAnsi="Times New Roman" w:cs="Times New Roman"/>
                <w:b/>
                <w:sz w:val="24"/>
                <w:szCs w:val="24"/>
              </w:rPr>
            </w:pPr>
            <w:r w:rsidRPr="00144ACF">
              <w:rPr>
                <w:rFonts w:ascii="Times New Roman" w:hAnsi="Times New Roman" w:cs="Times New Roman"/>
                <w:b/>
                <w:sz w:val="24"/>
                <w:szCs w:val="24"/>
              </w:rPr>
              <w:t>Ближайший населенный пункт</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w:t>
            </w:r>
          </w:p>
        </w:tc>
        <w:tc>
          <w:tcPr>
            <w:tcW w:w="2954" w:type="dxa"/>
            <w:vAlign w:val="center"/>
          </w:tcPr>
          <w:p w:rsidR="00144ACF" w:rsidRPr="00144ACF" w:rsidRDefault="00A9182B" w:rsidP="008F1469">
            <w:pPr>
              <w:jc w:val="both"/>
              <w:rPr>
                <w:rFonts w:ascii="Times New Roman" w:hAnsi="Times New Roman" w:cs="Times New Roman"/>
                <w:sz w:val="24"/>
                <w:szCs w:val="24"/>
              </w:rPr>
            </w:pPr>
            <w:hyperlink r:id="rId9">
              <w:r w:rsidR="00144ACF" w:rsidRPr="00144ACF">
                <w:rPr>
                  <w:rStyle w:val="a9"/>
                  <w:rFonts w:ascii="Times New Roman" w:hAnsi="Times New Roman" w:cs="Times New Roman"/>
                  <w:sz w:val="24"/>
                  <w:szCs w:val="24"/>
                </w:rPr>
                <w:t>Посадниковское</w:t>
              </w:r>
            </w:hyperlink>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376,3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 5,5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Посадниково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Чернозерье</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221,4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4,5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Казариново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2954" w:type="dxa"/>
            <w:vAlign w:val="center"/>
          </w:tcPr>
          <w:p w:rsidR="00144ACF" w:rsidRPr="00144ACF" w:rsidRDefault="00A9182B" w:rsidP="008F1469">
            <w:pPr>
              <w:jc w:val="both"/>
              <w:rPr>
                <w:rFonts w:ascii="Times New Roman" w:hAnsi="Times New Roman" w:cs="Times New Roman"/>
                <w:sz w:val="24"/>
                <w:szCs w:val="24"/>
              </w:rPr>
            </w:pPr>
            <w:hyperlink r:id="rId10">
              <w:r w:rsidR="00144ACF" w:rsidRPr="00144ACF">
                <w:rPr>
                  <w:rStyle w:val="a9"/>
                  <w:rFonts w:ascii="Times New Roman" w:hAnsi="Times New Roman" w:cs="Times New Roman"/>
                  <w:sz w:val="24"/>
                  <w:szCs w:val="24"/>
                </w:rPr>
                <w:t>Ясень или Ясеньское</w:t>
              </w:r>
            </w:hyperlink>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100,2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Ясень</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Любавец или Кудровское</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46,8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Любавец</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Бобринец</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Воповское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Вопово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7</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Глубенец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Гувнихино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Козариново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Дитятково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3,20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Вопово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Залозье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19,70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6</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 Мотовилово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11</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Мошенец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1,50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Мольшой Мошенец</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0,60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Кудяево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13</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Саменец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9,40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Гридино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14</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Чупрун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2,4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Гридино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Воробьевское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7,10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12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Воробьево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16</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Дубенец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8,40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Редкино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17</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Мошенец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3,00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8</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Редкино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18</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Пожитовское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3,30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9</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19</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Ресчино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13</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20</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Сковородня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0,50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Мартюши</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21</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Трегубец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4,00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12</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Пожито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22</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Долосец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21,10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Рахнихино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23</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Кобылях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0,60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5</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Фатьяново</w:t>
            </w:r>
          </w:p>
        </w:tc>
      </w:tr>
      <w:tr w:rsidR="00144ACF" w:rsidTr="008F1469">
        <w:tc>
          <w:tcPr>
            <w:tcW w:w="817"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25</w:t>
            </w:r>
          </w:p>
        </w:tc>
        <w:tc>
          <w:tcPr>
            <w:tcW w:w="2954"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 xml:space="preserve">Корешевское </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4,10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10</w:t>
            </w:r>
          </w:p>
        </w:tc>
        <w:tc>
          <w:tcPr>
            <w:tcW w:w="1886" w:type="dxa"/>
            <w:vAlign w:val="center"/>
          </w:tcPr>
          <w:p w:rsidR="00144ACF" w:rsidRPr="00144ACF" w:rsidRDefault="00144ACF" w:rsidP="008F1469">
            <w:pPr>
              <w:jc w:val="both"/>
              <w:rPr>
                <w:rFonts w:ascii="Times New Roman" w:hAnsi="Times New Roman" w:cs="Times New Roman"/>
                <w:sz w:val="24"/>
                <w:szCs w:val="24"/>
              </w:rPr>
            </w:pPr>
            <w:r w:rsidRPr="00144ACF">
              <w:rPr>
                <w:rFonts w:ascii="Times New Roman" w:hAnsi="Times New Roman" w:cs="Times New Roman"/>
                <w:sz w:val="24"/>
                <w:szCs w:val="24"/>
              </w:rPr>
              <w:t>Погорелово</w:t>
            </w:r>
          </w:p>
        </w:tc>
      </w:tr>
      <w:tr w:rsidR="00144ACF" w:rsidTr="008F1469">
        <w:tc>
          <w:tcPr>
            <w:tcW w:w="817" w:type="dxa"/>
            <w:vAlign w:val="center"/>
          </w:tcPr>
          <w:p w:rsidR="00144ACF" w:rsidRPr="003D4946" w:rsidRDefault="00144ACF" w:rsidP="008F1469">
            <w:pPr>
              <w:jc w:val="both"/>
              <w:rPr>
                <w:sz w:val="24"/>
                <w:szCs w:val="24"/>
              </w:rPr>
            </w:pPr>
            <w:r w:rsidRPr="003D4946">
              <w:rPr>
                <w:sz w:val="24"/>
                <w:szCs w:val="24"/>
              </w:rPr>
              <w:t>26</w:t>
            </w:r>
          </w:p>
        </w:tc>
        <w:tc>
          <w:tcPr>
            <w:tcW w:w="2954" w:type="dxa"/>
            <w:vAlign w:val="center"/>
          </w:tcPr>
          <w:p w:rsidR="00144ACF" w:rsidRPr="003D4946" w:rsidRDefault="00144ACF" w:rsidP="008F1469">
            <w:pPr>
              <w:jc w:val="both"/>
              <w:rPr>
                <w:sz w:val="24"/>
                <w:szCs w:val="24"/>
              </w:rPr>
            </w:pPr>
            <w:r w:rsidRPr="003D4946">
              <w:rPr>
                <w:sz w:val="24"/>
                <w:szCs w:val="24"/>
              </w:rPr>
              <w:t xml:space="preserve">Милье </w:t>
            </w:r>
          </w:p>
        </w:tc>
        <w:tc>
          <w:tcPr>
            <w:tcW w:w="1886" w:type="dxa"/>
            <w:vAlign w:val="center"/>
          </w:tcPr>
          <w:p w:rsidR="00144ACF" w:rsidRPr="003D4946" w:rsidRDefault="00144ACF" w:rsidP="008F1469">
            <w:pPr>
              <w:jc w:val="both"/>
              <w:rPr>
                <w:sz w:val="24"/>
                <w:szCs w:val="24"/>
              </w:rPr>
            </w:pPr>
            <w:r w:rsidRPr="003D4946">
              <w:rPr>
                <w:sz w:val="24"/>
                <w:szCs w:val="24"/>
              </w:rPr>
              <w:t>73,8</w:t>
            </w:r>
          </w:p>
        </w:tc>
        <w:tc>
          <w:tcPr>
            <w:tcW w:w="1886" w:type="dxa"/>
            <w:vAlign w:val="center"/>
          </w:tcPr>
          <w:p w:rsidR="00144ACF" w:rsidRPr="003D4946" w:rsidRDefault="00144ACF" w:rsidP="008F1469">
            <w:pPr>
              <w:jc w:val="both"/>
              <w:rPr>
                <w:sz w:val="24"/>
                <w:szCs w:val="24"/>
              </w:rPr>
            </w:pPr>
            <w:r w:rsidRPr="003D4946">
              <w:rPr>
                <w:sz w:val="24"/>
                <w:szCs w:val="24"/>
              </w:rPr>
              <w:t>3</w:t>
            </w:r>
          </w:p>
        </w:tc>
        <w:tc>
          <w:tcPr>
            <w:tcW w:w="1886" w:type="dxa"/>
            <w:vAlign w:val="center"/>
          </w:tcPr>
          <w:p w:rsidR="00144ACF" w:rsidRPr="003D4946" w:rsidRDefault="00144ACF" w:rsidP="008F1469">
            <w:pPr>
              <w:jc w:val="both"/>
              <w:rPr>
                <w:sz w:val="24"/>
                <w:szCs w:val="24"/>
              </w:rPr>
            </w:pPr>
            <w:r w:rsidRPr="003D4946">
              <w:rPr>
                <w:sz w:val="24"/>
                <w:szCs w:val="24"/>
              </w:rPr>
              <w:t xml:space="preserve">Конохново, </w:t>
            </w:r>
            <w:r w:rsidRPr="003D4946">
              <w:rPr>
                <w:sz w:val="24"/>
                <w:szCs w:val="24"/>
              </w:rPr>
              <w:lastRenderedPageBreak/>
              <w:t>Сазоново</w:t>
            </w:r>
          </w:p>
        </w:tc>
      </w:tr>
    </w:tbl>
    <w:p w:rsidR="00144ACF" w:rsidRPr="003D4946" w:rsidRDefault="00144ACF" w:rsidP="00144ACF">
      <w:pPr>
        <w:spacing w:after="0" w:line="240" w:lineRule="auto"/>
        <w:jc w:val="both"/>
        <w:rPr>
          <w:rFonts w:ascii="Times New Roman" w:hAnsi="Times New Roman" w:cs="Times New Roman"/>
          <w:b/>
          <w:bCs/>
          <w:sz w:val="24"/>
          <w:szCs w:val="24"/>
        </w:rPr>
      </w:pPr>
    </w:p>
    <w:p w:rsidR="003D4946" w:rsidRPr="003D4946" w:rsidRDefault="003D4946" w:rsidP="00144ACF">
      <w:pPr>
        <w:spacing w:after="0" w:line="240" w:lineRule="auto"/>
        <w:jc w:val="both"/>
        <w:rPr>
          <w:rFonts w:ascii="Times New Roman" w:hAnsi="Times New Roman" w:cs="Times New Roman"/>
          <w:sz w:val="24"/>
          <w:szCs w:val="24"/>
        </w:rPr>
      </w:pP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Многие озера во всех частях района в прошлом, вероятно, были связаны друг с другом протоками, а некоторые имеют такую связь и в настоящее время. Одним из многих подобных примеров может служить система озер Батковское, Алтун, Задолжское, Седговец, Сухловское. Первые три озера имеют связь в период снеготаяния и общий сток к реке Сороть. О былой связи всех названных озер свидетельствуют низкие заболоченные перемычки между ними.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Площади озер невелики. Наиболее крупными озерами в районе являются озеро Посадниковское (3,7 кв. км), озеро Орша (2,8 кв. км), озеро Вехно (2,6 кв. км) и озеро Чернозерье (2,2 кв. км).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воды в озерах находится на абсолютных высотах от 67 м (озеро Михалкинское) до 174,8 (озеро Перетёс) на севере района и до 259 м (озеро Студеное) – на крайнем юге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Уровенный режим озер имеет большое сходство с уровенным режимом рек. Он характеризуется небольшим подъемом в период весеннего снеготаяния и относительно устойчивой летней и зимней меженью. Осенью отмечаются небольшие подъемы уровней. Для большинства озер годовая амплитуда колебания уровней не превышает 1,5-2,0 м. Вода в озерах пресная, коричневатого цвета.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Торфяно-болотные образования пользуются довольно широким распространением. Под болотами занято 9% территории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площади болотных массивов приурочены к центральной части района, в остальных частях разбросаны многочисленные мелкие болота (в основном менее 10 га).</w:t>
      </w:r>
    </w:p>
    <w:p w:rsidR="00144ACF" w:rsidRDefault="00144ACF" w:rsidP="00144ACF">
      <w:pPr>
        <w:spacing w:after="0" w:line="240" w:lineRule="auto"/>
        <w:rPr>
          <w:rFonts w:ascii="Times New Roman" w:hAnsi="Times New Roman" w:cs="Times New Roman"/>
          <w:b/>
          <w:bCs/>
          <w:sz w:val="24"/>
          <w:szCs w:val="24"/>
        </w:rPr>
      </w:pPr>
    </w:p>
    <w:p w:rsidR="00144ACF" w:rsidRDefault="003D4946" w:rsidP="00144ACF">
      <w:pPr>
        <w:spacing w:after="0" w:line="240" w:lineRule="auto"/>
      </w:pPr>
      <w:r w:rsidRPr="003D4946">
        <w:rPr>
          <w:rFonts w:ascii="Times New Roman" w:hAnsi="Times New Roman" w:cs="Times New Roman"/>
          <w:b/>
          <w:bCs/>
          <w:sz w:val="24"/>
          <w:szCs w:val="24"/>
        </w:rPr>
        <w:t>Таблица 4 - Наиболее крупные болота, расположенные на территории района, с указанием запаса торфа</w:t>
      </w:r>
    </w:p>
    <w:tbl>
      <w:tblPr>
        <w:tblStyle w:val="aa"/>
        <w:tblW w:w="5000" w:type="pct"/>
        <w:tblLook w:val="04A0" w:firstRow="1" w:lastRow="0" w:firstColumn="1" w:lastColumn="0" w:noHBand="0" w:noVBand="1"/>
      </w:tblPr>
      <w:tblGrid>
        <w:gridCol w:w="827"/>
        <w:gridCol w:w="2063"/>
        <w:gridCol w:w="1469"/>
        <w:gridCol w:w="2182"/>
        <w:gridCol w:w="1443"/>
        <w:gridCol w:w="1445"/>
      </w:tblGrid>
      <w:tr w:rsidR="00144ACF" w:rsidRPr="003D4946" w:rsidTr="00144ACF">
        <w:trPr>
          <w:trHeight w:val="23"/>
        </w:trPr>
        <w:tc>
          <w:tcPr>
            <w:tcW w:w="439"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№п/п</w:t>
            </w:r>
          </w:p>
        </w:tc>
        <w:tc>
          <w:tcPr>
            <w:tcW w:w="1094"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Название болота</w:t>
            </w:r>
          </w:p>
        </w:tc>
        <w:tc>
          <w:tcPr>
            <w:tcW w:w="779"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Тип болот</w:t>
            </w:r>
          </w:p>
        </w:tc>
        <w:tc>
          <w:tcPr>
            <w:tcW w:w="1157"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Местонахождение</w:t>
            </w:r>
          </w:p>
        </w:tc>
        <w:tc>
          <w:tcPr>
            <w:tcW w:w="765"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Площадь, га</w:t>
            </w:r>
          </w:p>
        </w:tc>
        <w:tc>
          <w:tcPr>
            <w:tcW w:w="766" w:type="pct"/>
          </w:tcPr>
          <w:p w:rsidR="00144ACF" w:rsidRPr="00144ACF" w:rsidRDefault="00144ACF" w:rsidP="008F1469">
            <w:pPr>
              <w:rPr>
                <w:rFonts w:ascii="Times New Roman" w:hAnsi="Times New Roman" w:cs="Times New Roman"/>
                <w:b/>
                <w:sz w:val="24"/>
                <w:szCs w:val="24"/>
              </w:rPr>
            </w:pPr>
            <w:r w:rsidRPr="00144ACF">
              <w:rPr>
                <w:rFonts w:ascii="Times New Roman" w:hAnsi="Times New Roman" w:cs="Times New Roman"/>
                <w:b/>
                <w:sz w:val="24"/>
                <w:szCs w:val="24"/>
              </w:rPr>
              <w:t>Запасы торфа,тыс. куб. м</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Красный Мох</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 и 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правобережном склоне к реке Сороть, от Новоржева на северо-восток в 14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546</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9042</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2</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Зарослое I</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юго-восточном склоне к озеру Орша при деревне Пещевицы, на юго-западе в 0,5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183</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2554</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3</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Анашкино-Никулинское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 и 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северо-запад в 3,5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166</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2205</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4</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Жерняги</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юго-западе в 13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153</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2123</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5</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Шлопоты</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водоразделе реки Оршанки и реки Льста, при деревне Березовец</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107</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852</w:t>
            </w:r>
          </w:p>
        </w:tc>
      </w:tr>
      <w:tr w:rsidR="00144ACF" w:rsidTr="00144ACF">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6</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Курятник</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Верховое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 xml:space="preserve">На водоразделе </w:t>
            </w:r>
            <w:r w:rsidRPr="00144ACF">
              <w:rPr>
                <w:rFonts w:ascii="Times New Roman" w:hAnsi="Times New Roman" w:cs="Times New Roman"/>
                <w:sz w:val="24"/>
                <w:szCs w:val="24"/>
              </w:rPr>
              <w:lastRenderedPageBreak/>
              <w:t>реки Карузка и ручья Красный от Новоржева на северо-западе в 14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lastRenderedPageBreak/>
              <w:t>99</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1726</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lastRenderedPageBreak/>
              <w:t>7</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Под озером</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правобережье реки Шесть</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78</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1 644</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8</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Плинтовка</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южном склоне к озеру Батковское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68</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1 462</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9</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Заборское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Новоржева на северо-восток в 12 км, при деревне Макариха на юго-востоке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1 998</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10</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Гривинский Мох</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Переходное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правобережном склоне к реке Льста, при селе Гривино на северо-востоке</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1 191</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11</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Гагрино</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Верховое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На северо-восточном склоне к озеру Вехно</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42</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936</w:t>
            </w:r>
          </w:p>
        </w:tc>
      </w:tr>
      <w:tr w:rsidR="00144ACF" w:rsidTr="008F1469">
        <w:tc>
          <w:tcPr>
            <w:tcW w:w="439" w:type="pct"/>
            <w:vAlign w:val="center"/>
          </w:tcPr>
          <w:p w:rsidR="00144ACF" w:rsidRPr="00144ACF" w:rsidRDefault="00144ACF" w:rsidP="008F1469">
            <w:pPr>
              <w:rPr>
                <w:rFonts w:ascii="Times New Roman" w:hAnsi="Times New Roman" w:cs="Times New Roman"/>
                <w:b/>
                <w:bCs/>
                <w:sz w:val="24"/>
                <w:szCs w:val="24"/>
              </w:rPr>
            </w:pPr>
            <w:r w:rsidRPr="00144ACF">
              <w:rPr>
                <w:rFonts w:ascii="Times New Roman" w:hAnsi="Times New Roman" w:cs="Times New Roman"/>
                <w:b/>
                <w:bCs/>
                <w:sz w:val="24"/>
                <w:szCs w:val="24"/>
              </w:rPr>
              <w:t>12</w:t>
            </w:r>
          </w:p>
        </w:tc>
        <w:tc>
          <w:tcPr>
            <w:tcW w:w="1094"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Акулинское</w:t>
            </w:r>
          </w:p>
        </w:tc>
        <w:tc>
          <w:tcPr>
            <w:tcW w:w="779"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Низинное</w:t>
            </w:r>
          </w:p>
        </w:tc>
        <w:tc>
          <w:tcPr>
            <w:tcW w:w="1157"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От деревни Лукино на северо-западе в 1 км</w:t>
            </w:r>
          </w:p>
        </w:tc>
        <w:tc>
          <w:tcPr>
            <w:tcW w:w="765"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50</w:t>
            </w:r>
          </w:p>
        </w:tc>
        <w:tc>
          <w:tcPr>
            <w:tcW w:w="766" w:type="pct"/>
            <w:vAlign w:val="center"/>
          </w:tcPr>
          <w:p w:rsidR="00144ACF" w:rsidRPr="00144ACF" w:rsidRDefault="00144ACF" w:rsidP="008F1469">
            <w:pPr>
              <w:rPr>
                <w:rFonts w:ascii="Times New Roman" w:hAnsi="Times New Roman" w:cs="Times New Roman"/>
                <w:sz w:val="24"/>
                <w:szCs w:val="24"/>
              </w:rPr>
            </w:pPr>
            <w:r w:rsidRPr="00144ACF">
              <w:rPr>
                <w:rFonts w:ascii="Times New Roman" w:hAnsi="Times New Roman" w:cs="Times New Roman"/>
                <w:sz w:val="24"/>
                <w:szCs w:val="24"/>
              </w:rPr>
              <w:t>439</w:t>
            </w:r>
          </w:p>
        </w:tc>
      </w:tr>
    </w:tbl>
    <w:p w:rsidR="00144ACF" w:rsidRPr="003D4946" w:rsidRDefault="00144ACF" w:rsidP="00144ACF">
      <w:pPr>
        <w:spacing w:after="0" w:line="240" w:lineRule="auto"/>
        <w:rPr>
          <w:rFonts w:ascii="Times New Roman" w:hAnsi="Times New Roman" w:cs="Times New Roman"/>
          <w:b/>
          <w:bCs/>
          <w:sz w:val="24"/>
          <w:szCs w:val="24"/>
        </w:rPr>
      </w:pP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Подземные воды. Гидрогеологические условия</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Рассматриваемая территория характеризуются наличием подземных вод как в четвертичных, так и в коренных (девонских) породах.</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Наибольший практический интерес представляют подземные воды, приуроченные к толще известняков, - трещинно-пластовые воды. На территории района они залегают на глубинах от 35 до 110 м. </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Несколько водоносных слоев приурочено к четвертичным отложениям. Однако, вследствие их неглубокого залегания, эти слои обычно бедны водой, имеют непостоянный дебит, и обеспеченность хорошей питьевой водой неодинакова в разных частях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 химическому составу воды гидрокарбонатно-кальцивые и гидрокарбонатно-натривые, пресные, от умеренно жёстких до жёстких. </w:t>
      </w:r>
    </w:p>
    <w:p w:rsidR="003D4946" w:rsidRPr="003D4946" w:rsidRDefault="003D4946" w:rsidP="00144ACF">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Выводы:</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гидрографическая сеть района принадлежит к бассейну Балтийского моря;</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достаточно обеспечен поверхностными и подземными водами;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 время весенних половодий и осенних паводков возможно поднятие уровня воды в крупных реках района.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Геолого-геоморфологическая характеристика</w:t>
      </w:r>
      <w:bookmarkEnd w:id="30"/>
    </w:p>
    <w:p w:rsidR="003D4946" w:rsidRPr="003D4946" w:rsidRDefault="003D4946" w:rsidP="00144ACF">
      <w:pPr>
        <w:spacing w:after="0" w:line="240" w:lineRule="auto"/>
        <w:jc w:val="both"/>
        <w:rPr>
          <w:rFonts w:ascii="Times New Roman" w:hAnsi="Times New Roman" w:cs="Times New Roman"/>
          <w:sz w:val="24"/>
          <w:szCs w:val="24"/>
        </w:rPr>
      </w:pPr>
      <w:bookmarkStart w:id="31" w:name="_Toc167275005"/>
      <w:bookmarkStart w:id="32" w:name="_Toc216772311"/>
      <w:r w:rsidRPr="003D4946">
        <w:rPr>
          <w:rFonts w:ascii="Times New Roman" w:hAnsi="Times New Roman" w:cs="Times New Roman"/>
          <w:sz w:val="24"/>
          <w:szCs w:val="24"/>
        </w:rPr>
        <w:t>В состав территории Новоржевского района входят на севере часть Судомской возвышенности, на юге — Бежаницкой. В центре территория пересечена хорошо разработанной долиной реки Сороть. Вследствие этого поверхность района четко делится на три микрорайона: северный — моренно-холмистый; центральный — озерно-равнинный; южный — моренно-холмисто-грядовый.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Моренно-холмистый микрорайон расположен к северу от реки Сороть. Рельеф этой местности имеет волнисто-холмистый характер с наличием отдельных резко очерченных холмов и гряд. Абсолютные высоты изменяются от 70 м на юге до 284 м (г. Душилиха) </w:t>
      </w:r>
      <w:r w:rsidRPr="003D4946">
        <w:rPr>
          <w:rFonts w:ascii="Times New Roman" w:hAnsi="Times New Roman" w:cs="Times New Roman"/>
          <w:sz w:val="24"/>
          <w:szCs w:val="24"/>
        </w:rPr>
        <w:lastRenderedPageBreak/>
        <w:t>на севере. Относительные высоты колеблются в пределах 10–30 м, а на крайнем севере достигают 50–100 м. Основная черта рельефа этого микрорайона — эрозионное расчленение моренных гряд на вытянутые более или менее округленные холмы с несколько смягченными очертаниями. В простирании холмов преобладает обычно северо-восточное направление. Между холмами расположены озерные и болотные понижения. Характерно прогрессирующее уменьшение площади озер и связи с хорошо развитой речной сетью и некоторое увеличение болот за счет озер.</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Центральный микрорайон включает в себя большую часть бассейна реки Сороть и представляет собой пониженную волнистую равнину с многочисленными озерами и болотами. Абсолютные высоты здесь от 64,1 м (в устье реки Милья) до 100 м, относительные превышения невелики, в основном до 10 м и редко больше.</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Южный микрорайон характеризуется крупно-волнистым (на севере) или резкоочерченным холмисто-грядовым (на юге) рельефом. Абсолютные высоты возрастают с севера на юг от 75 до 328 м, относительные — от 50–70 до 150 м. В этом же направлении увеличивается расчлененность местности и крутизна склонов гряд и холмов. Здесь расположена самая высокая точка района и Псковской области — гора Липницкая (339 м, на юге района, к северо-востоку от истоков реки Вержа).</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Южный микрорайон так же, как и северный, пересечен густой сетью рек, четко видные долины которых характеризуются чередованием узких участков и озеровидных расширений.</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географию и современный рельеф района существенный отпечаток наложили геологическое строение и геологическая история территории.</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Коренными породами, распространенными по всему району, являются отложения верхнего девона. Глубина залегания их в центре 15–25 м, на севере она возрастает вследствие большой мощности толщи четвертичных отложений. Верхнедевонские отложения представлены двумя толщами пород: нижней карбонатной (бурегские слои), состоящей из доломитизированных известняков, известняковых туфов и мергелей с прослоями глин, и верхней — пестроцветной песчано-глинисто-мергелистой. Выходы на дневную поверхность известняков и известковых туфов отмечены по долинам рек Сороть (около деревень Заболотье, Васьково, Иглино) и Льста (около деревень Касьяново, Симоново — Ермолино — Леушино). Имеющиеся здесь известняки и известковые туфы вполне пригодны для известкования почв. В отдельных случаях они могут быть использованы и как строительный камень, в количестве вполне достаточном для удовлетворения местных нужд. Палеозойские породы имеют горизонтальное залегание и абсолютные высоты поверхности от 50–70 м на севере до 100–125 м — на юге. Палеозой всюду перекрыт отложениями четвертичного возраста.</w:t>
      </w:r>
      <w:r w:rsidRPr="003D4946">
        <w:rPr>
          <w:rFonts w:ascii="Times New Roman" w:hAnsi="Times New Roman" w:cs="Times New Roman"/>
          <w:sz w:val="24"/>
          <w:szCs w:val="24"/>
        </w:rPr>
        <w:br/>
        <w:t>Наиболее широко распространены господствующие в северном и южном подрайонах конечно-моренные отложения. Они представлены желтовато-бурыми или красно-бурыми суглинками, глинами (иногда карбонатными) и сильновалунными песками и супесями. Особенно большой завалуненностью отличаются крайний северо-запад и север района, а также юг и юго-восток территории. В первом случае завалуненность только пахотных угодий часто превышает 50%.</w:t>
      </w:r>
    </w:p>
    <w:p w:rsidR="003D4946" w:rsidRPr="003D4946" w:rsidRDefault="003D4946" w:rsidP="00144ACF">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Друмлины и камы, разбросанные по всей территории, с поверхности сложены преимущественно пылевато-суглинистым материалом, а на глубине либо неотсортированным моренным материалом, либо грубозернистыми песками и гравием.</w:t>
      </w:r>
    </w:p>
    <w:p w:rsidR="003D4946" w:rsidRPr="003D4946" w:rsidRDefault="003D4946" w:rsidP="00144ACF">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Песок, гравий и галечник, слагающие холмы и гряды, широко используются населением как дорожный материал. Большие скопления валунов могут быть использованы в строительном деле.</w:t>
      </w:r>
    </w:p>
    <w:p w:rsidR="003D4946" w:rsidRPr="003D4946" w:rsidRDefault="003D4946" w:rsidP="00144ACF">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Озерные и озерно-ледниковые отложения состоят из буровато-коричневых ленточных глин и реже из карбонатных слоистых суглинков и песков. Мощность озерно-ледниковых отложений от 10 до 30 м.</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 зависимости от характера четвертичных отложений и геоморфологических условий изменяется количество и обильность водоносных горизонтов. Более водообильный комплекс слоев приурочен к нижним межледниковым и межморенным горизонтам четвертичных отложений. Наиболее постоянны они в центральной части района с легкой всхолмленностью. Водосодержащие породы здесь представлены преимущественно слоистыми грубозернистыми песками и галечниками разной мощности. Глубина залегания их от 2 до 10 м.</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конечно-моренных отложениях на севере и на юге района многие населенные пункты, расположенные на вершинах холмов, не обеспечены водой, несмотря на большую глубину (10–15 м} колодцев. Но вдоль склонов и у подножий таких холмов имеется много выходов источников, и селения, которые расположены в таких местах, обычно обеспечены хорошей питьевой водой.</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Послеледниковые отложения представлены эоловыми и аллювиальными песками и торфяно-болотными отложениями. Эоловые отложения не имеют значительного распространения. Наибольшие площади незакрепленных песков в сочетании с закрепленными сосновым лесом находятся на правом берегу реки Сороть между озером Пасадниковским и деревней Крутцы, и на междуречье реки Льста и ее притоке Оршица, между деревнями Ямищи и Березовец. В этих участках и в других местах дюны образовались за счет развевания озерных песков.</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Аллювиальные отложения наибольшее развитие имеют по долинам рек Сороти и ее притоков. Они различны по механическому составу (пески, суглинки, реже глины), часто слоистые серовато-синего, оранжевого и других цветов.</w:t>
      </w:r>
      <w:r w:rsidRPr="003D4946">
        <w:rPr>
          <w:rFonts w:ascii="Times New Roman" w:hAnsi="Times New Roman" w:cs="Times New Roman"/>
          <w:sz w:val="24"/>
          <w:szCs w:val="24"/>
        </w:rPr>
        <w:br/>
        <w:t>Торфяно-болотные образования пользуются довольно широким распространением. Под болотами занято 9% территории района.</w:t>
      </w:r>
      <w:r w:rsidRPr="003D4946">
        <w:rPr>
          <w:rFonts w:ascii="Times New Roman" w:hAnsi="Times New Roman" w:cs="Times New Roman"/>
          <w:sz w:val="24"/>
          <w:szCs w:val="24"/>
        </w:rPr>
        <w:br/>
        <w:t>Основные площади болотных массивов приурочены к центральной части района, в остальных частях разбросаны многочисленные мелкие болота (в основном менее 10 га).</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Почвы</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 территории района почвообразующие породы представлены моренными, озерно-ледниковыми и флювиогляциальными отложениями. В условиях значительной пересеченности рельефа и разнообразия почвообразующих пород почвенный покров характеризуется исключительной пестротой.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преобладают дерново-подзолистые почвы разной степени оподзоленности и разного механического состава. Они характеризуются малой мощностью гумусового горизонта, ограничивающей возможность создания полноценного пахотного слоя. Эти почвы бедны подвижными формами всех элементов питания.</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платообразных повышениях с крутыми склонами («звонцах») формируются специфические дерново-слабоподзолистые тяжелосуглинистые почвы. Для них характерны довольно высокое содержание гумуса, хорошо выраженная комковато-ореховатая структура и кислая реакция, особенно в верхних горизонтах. На территории района встречаются и дерново-карбонатные почвы.</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К пониженным элементам рельефа приурочены дерново-подзолистые глееватые, дерново-глеевые и болотные (преимущественно низинные) почвы. Последние представлены мелкими контурами, часто на местах заросших озер.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Болотно-подзолистые почвы характеризуются высоким содержанием органического вещества, особенно в торфяном горизонте. Но наряду с этим, они имеют высокую кислотность, не насыщены основаниями, бедны питательными веществами.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Самые крупные массивы болотных почв редко достигают 500 га (Красный Мох). Пойму Сороти и ее притоков занимают супесчаные и суглинистые дерновые аллювиальные почвы.</w:t>
      </w:r>
    </w:p>
    <w:p w:rsidR="003D4946" w:rsidRPr="003D4946" w:rsidRDefault="003D4946" w:rsidP="0069007B">
      <w:pPr>
        <w:spacing w:after="0" w:line="240" w:lineRule="auto"/>
        <w:jc w:val="both"/>
        <w:rPr>
          <w:rFonts w:ascii="Times New Roman" w:hAnsi="Times New Roman" w:cs="Times New Roman"/>
          <w:sz w:val="24"/>
          <w:szCs w:val="24"/>
        </w:rPr>
      </w:pPr>
      <w:bookmarkStart w:id="33" w:name="_Toc167275009"/>
      <w:bookmarkStart w:id="34" w:name="_Toc216772312"/>
      <w:bookmarkStart w:id="35" w:name="_Toc216772318"/>
      <w:bookmarkStart w:id="36" w:name="_Toc167275012"/>
      <w:r w:rsidRPr="003D4946">
        <w:rPr>
          <w:rFonts w:ascii="Times New Roman" w:hAnsi="Times New Roman" w:cs="Times New Roman"/>
          <w:sz w:val="24"/>
          <w:szCs w:val="24"/>
        </w:rPr>
        <w:t>Растительность</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Луговая растительность</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Луга представлены суходольными, низинными и пойменными ти</w:t>
      </w:r>
      <w:r w:rsidRPr="003D4946">
        <w:rPr>
          <w:rFonts w:ascii="Times New Roman" w:hAnsi="Times New Roman" w:cs="Times New Roman"/>
          <w:sz w:val="24"/>
          <w:szCs w:val="24"/>
        </w:rPr>
        <w:softHyphen/>
        <w:t>пами лугов с характерной растительностью. Так, на суходольных лугах господствуют злаково-разнотравные ассоциации (колосок душистый, тимофеевка, белоус, клевера, чина луговая, колокольчик, икотник, кульбаба, щавель малый, подорожник и др.). Продуктивность сухо</w:t>
      </w:r>
      <w:r w:rsidRPr="003D4946">
        <w:rPr>
          <w:rFonts w:ascii="Times New Roman" w:hAnsi="Times New Roman" w:cs="Times New Roman"/>
          <w:sz w:val="24"/>
          <w:szCs w:val="24"/>
        </w:rPr>
        <w:softHyphen/>
        <w:t>дольных лугов крайне низкая и обычно не достигает 10 ц/га (по сену). Более продуктивны низинные луга (около 15 ц/га), растительный покров которых представлен разнотравно-злаково-осоковыми ассоциациями.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Заливные пойменные луга характеризуются самым богатым тра</w:t>
      </w:r>
      <w:r w:rsidRPr="003D4946">
        <w:rPr>
          <w:rFonts w:ascii="Times New Roman" w:hAnsi="Times New Roman" w:cs="Times New Roman"/>
          <w:sz w:val="24"/>
          <w:szCs w:val="24"/>
        </w:rPr>
        <w:softHyphen/>
        <w:t>востоем с участием высокорослых верховых злаков (тимофеевка, ов</w:t>
      </w:r>
      <w:r w:rsidRPr="003D4946">
        <w:rPr>
          <w:rFonts w:ascii="Times New Roman" w:hAnsi="Times New Roman" w:cs="Times New Roman"/>
          <w:sz w:val="24"/>
          <w:szCs w:val="24"/>
        </w:rPr>
        <w:softHyphen/>
        <w:t>сяница луговая, ежа сборная), бобовых (клевера, чина луговая, лядвенец, мышиный горошек) и разнотравья (гравилат, герань луговая, купальница, василистник). Пойменные луга представлены весьма круп</w:t>
      </w:r>
      <w:r w:rsidRPr="003D4946">
        <w:rPr>
          <w:rFonts w:ascii="Times New Roman" w:hAnsi="Times New Roman" w:cs="Times New Roman"/>
          <w:sz w:val="24"/>
          <w:szCs w:val="24"/>
        </w:rPr>
        <w:softHyphen/>
        <w:t>ными массивами в долинах разных по размеру рек. К сожа</w:t>
      </w:r>
      <w:r w:rsidRPr="003D4946">
        <w:rPr>
          <w:rFonts w:ascii="Times New Roman" w:hAnsi="Times New Roman" w:cs="Times New Roman"/>
          <w:sz w:val="24"/>
          <w:szCs w:val="24"/>
        </w:rPr>
        <w:softHyphen/>
        <w:t>лению, из-за слабого сельскохозяйственного использования, значитель</w:t>
      </w:r>
      <w:r w:rsidRPr="003D4946">
        <w:rPr>
          <w:rFonts w:ascii="Times New Roman" w:hAnsi="Times New Roman" w:cs="Times New Roman"/>
          <w:sz w:val="24"/>
          <w:szCs w:val="24"/>
        </w:rPr>
        <w:softHyphen/>
        <w:t>ная часть их сильно закустарена.</w:t>
      </w:r>
    </w:p>
    <w:p w:rsidR="003D4946" w:rsidRPr="003D4946" w:rsidRDefault="003D4946" w:rsidP="0069007B">
      <w:pPr>
        <w:spacing w:after="0" w:line="240" w:lineRule="auto"/>
        <w:jc w:val="both"/>
        <w:rPr>
          <w:rFonts w:ascii="Times New Roman" w:hAnsi="Times New Roman" w:cs="Times New Roman"/>
          <w:b/>
          <w:iCs/>
          <w:sz w:val="24"/>
          <w:szCs w:val="24"/>
        </w:rPr>
      </w:pPr>
      <w:r w:rsidRPr="003D4946">
        <w:rPr>
          <w:rFonts w:ascii="Times New Roman" w:hAnsi="Times New Roman" w:cs="Times New Roman"/>
          <w:b/>
          <w:iCs/>
          <w:sz w:val="24"/>
          <w:szCs w:val="24"/>
        </w:rPr>
        <w:t>Выводы:</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района наибольшую долю занимают земли сельскохозяйственного назначения – более 70 %, что является основой для развития в нем агропромышленного комплекса.</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Территория района по агроклиматическим условиям находится в зоне рискованного земледелия с умеренно-континентальным климатом, позволяющим возделывать здесь зерновые и кормовые культуры, картофель, овощи, лен.</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Почвенный покров на территории района представлен низкоплодородными дерново-подзолистыми, болотно-подзолистыми и торфяно-болотными почвами, требующими известкования и внесения удобрений в значительных объемах.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Естественные кормовые угодья района имеют низкую продуктивность. Вследствие их экстенсивного использования, они зарастают древесно-кустарниковой растительностью и заболачиваются.</w:t>
      </w:r>
    </w:p>
    <w:p w:rsidR="003D4946" w:rsidRPr="003D4946" w:rsidRDefault="003D4946" w:rsidP="0069007B">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Леса и лесные ресурсы</w:t>
      </w:r>
      <w:bookmarkEnd w:id="33"/>
      <w:bookmarkEnd w:id="34"/>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Новоржевского района расположены Новоржевское, Стехновское участковые лесничества Бежаницкого лесничества, утвержденного Приказом государственного комитета Псковской области по природопользованию и охране окружающей среды «Об утверждении лесохозяйственного регламента Бежаницкого лесничества псковской области» от 18.12.2018 г.№ 981.</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xml:space="preserve">Лесохозяйственный регламент разработан в соответствии с приказом Минприроды России от 27.02.2017 N 72 (ред. от 27.02.2020) Об утверждении состава лесохозяйственных регламентов, порядка их разработки, сроков их действия и порядка внесения в них изменений (Зарегистрировано в Минюсте России 31.03.2017 N 46210). </w:t>
      </w:r>
      <w:r w:rsidRPr="003D4946">
        <w:rPr>
          <w:rFonts w:ascii="Times New Roman" w:hAnsi="Times New Roman" w:cs="Times New Roman"/>
          <w:sz w:val="24"/>
          <w:szCs w:val="24"/>
        </w:rPr>
        <w:t>Регламент Бежаницкого лесничества утвержден Приказом Комитета по природным ресурсам и экологии Псковской области от 11.12.2023 г. № 572.</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Бежаницкое лесничество Комитета по природным ресурсам и экологии Псковской области (далее – лесничество) расположено в юго-восточной части Псковской области на территории муниципальных образования – Бежаницкого, Локнянского, Новоржевского районов. Почтовый адрес: 182840, Псковская область, п. г. Бежаницы, ул. Смольная д. 64. Телефон: 8 (81141) 2-22-15; E-mail: les_bezhanicy@priroda.pskov.ru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Новоржевское участковое лесничество занимает площадь 31621 га, Стехновское участковое лесничество занимает - 23034 га, что в совокупности составляет 20% от структуры Бежаницкого лесничества.</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Рельеф территории лесничества равнинный. По характеру рельефа все леса относятся к равнинным.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соответствии с Приказом Министерства природных ресурсов и экологии РФ от 18.08.2014 г. № 367 «Об утверждении Перечня лесорастительных зон Российской Федерации и Перечня лесных районов Российской Федерации»» (с изменениями и дополнениями), территория лесничества относится к району хвойно-широколиственных </w:t>
      </w:r>
      <w:r w:rsidRPr="003D4946">
        <w:rPr>
          <w:rFonts w:ascii="Times New Roman" w:hAnsi="Times New Roman" w:cs="Times New Roman"/>
          <w:sz w:val="24"/>
          <w:szCs w:val="24"/>
        </w:rPr>
        <w:lastRenderedPageBreak/>
        <w:t xml:space="preserve">(смешанных) лесов европейской части Российской Федерации зоны хвойно-широколиственных лесов.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соответствии с приказом Рослесхоза от 08.10.2015 № 353 «Об установлении лесосеменного районирования» все муниципальные районы области относятся для насаждений сосны обыкновенной ко 2-му, ели к 3-му, дуба черешчатого к 1-ому лесосеменным районам. </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Разделение лесов по целевому назначению на защитные и эксплуатационные леса произведено в соответствии с Лесным кодексом Российской Федерации (ст. 10), приказом Рослесхоза от 29.10.2008 г. № 329 «Об отнесении лесов к эксплуатационным лесам, резервным лесам и установлении их границ».</w:t>
      </w:r>
    </w:p>
    <w:p w:rsidR="003D4946" w:rsidRPr="003D4946" w:rsidRDefault="003D4946" w:rsidP="0069007B">
      <w:pPr>
        <w:spacing w:after="0" w:line="240" w:lineRule="auto"/>
        <w:jc w:val="both"/>
        <w:rPr>
          <w:rFonts w:ascii="Times New Roman" w:hAnsi="Times New Roman" w:cs="Times New Roman"/>
          <w:b/>
          <w:bCs/>
          <w:sz w:val="24"/>
          <w:szCs w:val="24"/>
          <w:lang w:bidi="ru-RU"/>
        </w:rPr>
      </w:pPr>
    </w:p>
    <w:p w:rsidR="003D4946" w:rsidRDefault="003D4946" w:rsidP="0069007B">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Таблица 5 - Распределение лесов лесничества по видам целевого назначения и категориям защит</w:t>
      </w:r>
      <w:r w:rsidRPr="003D4946">
        <w:rPr>
          <w:rFonts w:ascii="Times New Roman" w:hAnsi="Times New Roman" w:cs="Times New Roman"/>
          <w:b/>
          <w:bCs/>
          <w:sz w:val="24"/>
          <w:szCs w:val="24"/>
          <w:lang w:bidi="ru-RU"/>
        </w:rPr>
        <w:softHyphen/>
        <w:t>ных лесов и основания для их выделения в соответствии с Временными рекомендациями по проектированию защитных, эксплуатационных и резервных лесов, утвержденными Рослесхозом</w:t>
      </w:r>
    </w:p>
    <w:p w:rsidR="0069007B" w:rsidRDefault="0069007B" w:rsidP="0069007B">
      <w:pPr>
        <w:spacing w:after="0" w:line="240" w:lineRule="auto"/>
        <w:jc w:val="both"/>
        <w:rPr>
          <w:rFonts w:ascii="Times New Roman" w:hAnsi="Times New Roman" w:cs="Times New Roman"/>
          <w:b/>
          <w:bCs/>
          <w:sz w:val="24"/>
          <w:szCs w:val="24"/>
          <w:lang w:bidi="ru-RU"/>
        </w:rPr>
      </w:pPr>
    </w:p>
    <w:tbl>
      <w:tblPr>
        <w:tblStyle w:val="aa"/>
        <w:tblW w:w="9291" w:type="dxa"/>
        <w:tblLayout w:type="fixed"/>
        <w:tblLook w:val="04A0" w:firstRow="1" w:lastRow="0" w:firstColumn="1" w:lastColumn="0" w:noHBand="0" w:noVBand="1"/>
      </w:tblPr>
      <w:tblGrid>
        <w:gridCol w:w="2070"/>
        <w:gridCol w:w="23"/>
        <w:gridCol w:w="90"/>
        <w:gridCol w:w="1672"/>
        <w:gridCol w:w="23"/>
        <w:gridCol w:w="2141"/>
        <w:gridCol w:w="1200"/>
        <w:gridCol w:w="10"/>
        <w:gridCol w:w="2062"/>
      </w:tblGrid>
      <w:tr w:rsidR="0069007B" w:rsidRPr="0069007B" w:rsidTr="008F1469">
        <w:tc>
          <w:tcPr>
            <w:tcW w:w="2183"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Целевое назначение лесов</w:t>
            </w: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Участковое лесничество</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Номера лесных кварталов или их частей</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Площадь, га</w:t>
            </w:r>
          </w:p>
        </w:tc>
        <w:tc>
          <w:tcPr>
            <w:tcW w:w="2062"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Основания деления по целевому составу</w:t>
            </w:r>
          </w:p>
        </w:tc>
      </w:tr>
      <w:tr w:rsidR="0069007B" w:rsidRPr="0069007B" w:rsidTr="008F1469">
        <w:tc>
          <w:tcPr>
            <w:tcW w:w="2183"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w:t>
            </w: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w:t>
            </w:r>
          </w:p>
        </w:tc>
        <w:tc>
          <w:tcPr>
            <w:tcW w:w="2062"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w:t>
            </w:r>
          </w:p>
        </w:tc>
      </w:tr>
      <w:tr w:rsidR="0069007B" w:rsidRPr="0069007B" w:rsidTr="008F1469">
        <w:trPr>
          <w:trHeight w:val="300"/>
        </w:trPr>
        <w:tc>
          <w:tcPr>
            <w:tcW w:w="2183" w:type="dxa"/>
            <w:gridSpan w:val="3"/>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Всего лесов</w:t>
            </w: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31548,0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(ст.10, 110)</w:t>
            </w:r>
          </w:p>
        </w:tc>
      </w:tr>
      <w:tr w:rsidR="0069007B" w:rsidRPr="0069007B" w:rsidTr="008F1469">
        <w:trPr>
          <w:trHeight w:val="240"/>
        </w:trPr>
        <w:tc>
          <w:tcPr>
            <w:tcW w:w="2183" w:type="dxa"/>
            <w:gridSpan w:val="3"/>
            <w:vMerge/>
          </w:tcPr>
          <w:p w:rsidR="0069007B" w:rsidRPr="0069007B" w:rsidRDefault="0069007B" w:rsidP="0069007B">
            <w:pPr>
              <w:jc w:val="both"/>
              <w:rPr>
                <w:rFonts w:ascii="Times New Roman" w:hAnsi="Times New Roman" w:cs="Times New Roman"/>
                <w:bCs/>
                <w:sz w:val="24"/>
                <w:szCs w:val="24"/>
                <w:lang w:bidi="ru-RU"/>
              </w:rPr>
            </w:pP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23079,0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2183" w:type="dxa"/>
            <w:gridSpan w:val="3"/>
          </w:tcPr>
          <w:p w:rsidR="0069007B" w:rsidRPr="0069007B" w:rsidRDefault="0069007B" w:rsidP="0069007B">
            <w:pPr>
              <w:jc w:val="both"/>
              <w:rPr>
                <w:rFonts w:ascii="Times New Roman" w:hAnsi="Times New Roman" w:cs="Times New Roman"/>
                <w:bCs/>
                <w:sz w:val="24"/>
                <w:szCs w:val="24"/>
                <w:lang w:bidi="ru-RU"/>
              </w:rPr>
            </w:pPr>
          </w:p>
        </w:tc>
        <w:tc>
          <w:tcPr>
            <w:tcW w:w="1695"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54627,0</w:t>
            </w:r>
          </w:p>
        </w:tc>
        <w:tc>
          <w:tcPr>
            <w:tcW w:w="2062" w:type="dxa"/>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183" w:type="dxa"/>
            <w:gridSpan w:val="3"/>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Защитные леса</w:t>
            </w: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5106,6</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(ст.10, 110).</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(ст.8, 8.1)</w:t>
            </w:r>
          </w:p>
        </w:tc>
      </w:tr>
      <w:tr w:rsidR="0069007B" w:rsidRPr="0069007B" w:rsidTr="008F1469">
        <w:trPr>
          <w:trHeight w:val="270"/>
        </w:trPr>
        <w:tc>
          <w:tcPr>
            <w:tcW w:w="2183" w:type="dxa"/>
            <w:gridSpan w:val="3"/>
            <w:vMerge/>
          </w:tcPr>
          <w:p w:rsidR="0069007B" w:rsidRPr="0069007B" w:rsidRDefault="0069007B" w:rsidP="0069007B">
            <w:pPr>
              <w:jc w:val="both"/>
              <w:rPr>
                <w:rFonts w:ascii="Times New Roman" w:hAnsi="Times New Roman" w:cs="Times New Roman"/>
                <w:bCs/>
                <w:sz w:val="24"/>
                <w:szCs w:val="24"/>
                <w:lang w:bidi="ru-RU"/>
              </w:rPr>
            </w:pPr>
          </w:p>
        </w:tc>
        <w:tc>
          <w:tcPr>
            <w:tcW w:w="1695"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7552,0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67"/>
        </w:trPr>
        <w:tc>
          <w:tcPr>
            <w:tcW w:w="2183" w:type="dxa"/>
            <w:gridSpan w:val="3"/>
            <w:vMerge/>
          </w:tcPr>
          <w:p w:rsidR="0069007B" w:rsidRPr="0069007B" w:rsidRDefault="0069007B" w:rsidP="0069007B">
            <w:pPr>
              <w:jc w:val="both"/>
              <w:rPr>
                <w:rFonts w:ascii="Times New Roman" w:hAnsi="Times New Roman" w:cs="Times New Roman"/>
                <w:bCs/>
                <w:sz w:val="24"/>
                <w:szCs w:val="24"/>
                <w:lang w:bidi="ru-RU"/>
              </w:rPr>
            </w:pPr>
          </w:p>
        </w:tc>
        <w:tc>
          <w:tcPr>
            <w:tcW w:w="1695"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12658,6</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9291" w:type="dxa"/>
            <w:gridSpan w:val="9"/>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 том числе:</w:t>
            </w:r>
          </w:p>
        </w:tc>
      </w:tr>
      <w:tr w:rsidR="0069007B" w:rsidRPr="0069007B" w:rsidTr="008F1469">
        <w:trPr>
          <w:trHeight w:val="630"/>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1.Леса, расположенные на особо охраняемых природных территориях (ООПТ)</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27ч-29ч, 36, 100, 106ч, 107, 108, 111ч, 115ч, 117, 118ч, 121ч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1203,0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Лесной кодекс Российской Федерации (ст.111, 112). Приказ Минприроды России от 12 августа 2021 № 558 «Об утверждении особенностей использования, </w:t>
            </w:r>
            <w:r w:rsidRPr="0069007B">
              <w:rPr>
                <w:rFonts w:ascii="Times New Roman" w:hAnsi="Times New Roman" w:cs="Times New Roman"/>
                <w:bCs/>
                <w:sz w:val="24"/>
                <w:szCs w:val="24"/>
                <w:lang w:bidi="ru-RU"/>
              </w:rPr>
              <w:lastRenderedPageBreak/>
              <w:t>охраны, защиты, воспроизводства лесов, расположенных на особо охраняемых природных территориях». Федеральный закон от 14.03.1995 № 33-ФЗ «Об особо охраняемых природных территориях».</w:t>
            </w:r>
          </w:p>
        </w:tc>
      </w:tr>
      <w:tr w:rsidR="0069007B" w:rsidRPr="0069007B" w:rsidTr="008F1469">
        <w:trPr>
          <w:trHeight w:val="1005"/>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10-14, 19-23, 24ч, 31-36, 37ч, 52-61, 75-82, 88-90, 94-97, 98ч, 102</w:t>
            </w: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5117,0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85"/>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6320,0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705"/>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2.Леса, расположенные в водоохранных  зонах</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1ч, 2ч, 4ч-7ч, 10ч, 12ч-23ч, 25ч-32ч, 34ч,35ч, 37ч-39ч, 42ч-45ч, 47ч-51ч,, 53ч-57ч, 59ч-65ч, 67ч-84ч, 86ч, 90ч-92ч, 94ч, 96ч-99ч, 101ч-103ч, 105ч, 109ч-116ч, 118ч-127ч, 130ч, 133ч, 136ч, 137ч, 140ч-143ч, 145ч-148ч, 150ч, 151ч, 153ч-155ч, 157ч-159ч, 116ч-165ч, 167ч-204ч, 208ч-212ч, 214-220ч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2447,0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(ст.111, 113).</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Водный кодекс РФ от 03.06.2006 № 74-ФЗ (ст.65)</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22.10.2020 № 846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w:t>
            </w:r>
          </w:p>
        </w:tc>
      </w:tr>
      <w:tr w:rsidR="0069007B" w:rsidRPr="0069007B" w:rsidTr="008F1469">
        <w:trPr>
          <w:trHeight w:val="3765"/>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2ч-4ч, 8ч, 9ч, 15ч, 24ч, 29ч, 30ч, 43ч-46ч, 49ч-51ч, 66ч, 67ч, 69ч-71ч, 74ч, 86ч,87ч,9ч,99ч,101ч,</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103ч, 201ч-203ч, 205ч-207ч, 210ч, 215ч, 221ч-223, 225ч, 228ч, 229ч, 233ч, 234ч,241ч-247ч, 249ч, 251ч-253ч, 255ч-257ч, 259ч, 261ч-268ч, 270ч-278ч, 280ч, 283ч, 284ч, 287ч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779,0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3226,0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3. Леса, выполняющие </w:t>
            </w:r>
            <w:r w:rsidRPr="0069007B">
              <w:rPr>
                <w:rFonts w:ascii="Times New Roman" w:hAnsi="Times New Roman" w:cs="Times New Roman"/>
                <w:bCs/>
                <w:sz w:val="24"/>
                <w:szCs w:val="24"/>
                <w:lang w:bidi="ru-RU"/>
              </w:rPr>
              <w:lastRenderedPageBreak/>
              <w:t>функции защиты природных объектов</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614,4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Лесной кодекс Российской </w:t>
            </w:r>
            <w:r w:rsidRPr="0069007B">
              <w:rPr>
                <w:rFonts w:ascii="Times New Roman" w:hAnsi="Times New Roman" w:cs="Times New Roman"/>
                <w:bCs/>
                <w:sz w:val="24"/>
                <w:szCs w:val="24"/>
                <w:lang w:bidi="ru-RU"/>
              </w:rPr>
              <w:lastRenderedPageBreak/>
              <w:t>Федерации (ст.111, 114).</w:t>
            </w:r>
          </w:p>
        </w:tc>
      </w:tr>
      <w:tr w:rsidR="0069007B" w:rsidRPr="0069007B" w:rsidTr="008F1469">
        <w:trPr>
          <w:trHeight w:val="84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1188,7</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9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1803,1</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310"/>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3.2.Леса,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леятельности)</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5ч, 9ч-11ч, 13ч, 16ч, 20ч-22ч, 25ч-29ч, 31ч-35ч, 48ч, 52ч, 53ч, 53ч, 57ч, 61ч, 64ч-66ч, 73ч, 75ч, 76ч, 83ч, 878ч, 91ч, 93ч-99ч, 102ч-106ч, 111ч, 112ч, 115ч, 116ч, 118ч-121ч, 123ч, 124ч, 126ч, 128ч, 136ч, 137ч, 141ч, 144ч, 145ч, 147ч, 169ч, 170ч, 175ч, 176ч, 183ч, 184ч, 187ч-189ч, 193ч, 196ч, 197ч, 201ч-203ч, 209ч, 211ч-212ч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211,4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(ст.114)</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ГОСТ 17.5.3.02-90 «Охрана природы.Земли. Нормы выделения на землях государственного лесного фонда защитных полос лесов вдоль железных и автомобильных дорог»</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08.11.2007 № 257-ФЗ «Об автомобильных дорогах и о дорожной деятельности в РФ и о внесении изменений в отдельные законодательные акты РФ»</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Приказ Минтранса РФ от 06.08.2008 № 126 «Об утверждении Норм отвода земельных участков, необходимых для формирования полосы отвода железных дорог, </w:t>
            </w:r>
            <w:r w:rsidRPr="0069007B">
              <w:rPr>
                <w:rFonts w:ascii="Times New Roman" w:hAnsi="Times New Roman" w:cs="Times New Roman"/>
                <w:bCs/>
                <w:sz w:val="24"/>
                <w:szCs w:val="24"/>
                <w:lang w:bidi="ru-RU"/>
              </w:rPr>
              <w:lastRenderedPageBreak/>
              <w:t>а также норм расчета охранных зон железных дорог»</w:t>
            </w:r>
          </w:p>
        </w:tc>
      </w:tr>
      <w:tr w:rsidR="0069007B" w:rsidRPr="0069007B" w:rsidTr="008F1469">
        <w:trPr>
          <w:trHeight w:val="1995"/>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3ч, 4ч, 15ч, 16ч, 24ч, 28ч, 29ч, 37ч, 41ч, 42ч, 45ч, 46ч, 48ч, 49ч, 51ч, 62ч, 64ч-68ч, 74ч, 83ч, 92ч, 99ч, 208ч, 209ч, 225ч, 230ч-239ч, 243ч, 248ч, 251ч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193,7</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405,1</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1125"/>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3.3.Леса, расположенные в зеленых зонах</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132, 134, 149, 166</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403,0</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(ст.114)</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 8, 8.1)</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Постановление Правительства РФ от 21.12.2019 № 1755 «Об утверждении правил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tc>
      </w:tr>
      <w:tr w:rsidR="0069007B" w:rsidRPr="0069007B" w:rsidTr="008F1469">
        <w:trPr>
          <w:trHeight w:val="24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403,0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690"/>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3.4.Леса, расположенные в лесопарковых зонах</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211, 216-220, 226-227</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995,0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2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995,0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45"/>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4.Ценные леса</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842,2</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(ст.111, 115)</w:t>
            </w:r>
          </w:p>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3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467,3</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07"/>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1309,5</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c>
          <w:tcPr>
            <w:tcW w:w="9291" w:type="dxa"/>
            <w:gridSpan w:val="9"/>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lastRenderedPageBreak/>
              <w:t>в том числе</w:t>
            </w:r>
          </w:p>
        </w:tc>
      </w:tr>
      <w:tr w:rsidR="0069007B" w:rsidRPr="0069007B" w:rsidTr="008F1469">
        <w:trPr>
          <w:trHeight w:val="4035"/>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4.3.Запретные полосы лесов, расположенных вдоль водных объектов</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21ч, 30ч, 31ч, 38ч, 39ч, 43ч, 47ч,, 52ч, 53ч, 61ч, 62ч, 64ч-68ч, 73ч, 75ч, 76ч, 78ч, 80ч, 81ч, 83ч, 87ч, 96ч, 110ч, 118ч, 120ч, 121ч, 123ч, 124ч, 126ч, 130ч, 136ч, 137ч, 144ч-146ч, 165ч, 167ч, 171ч, 173ч, 176ч, 184ч, 185ч, 189ч, 194ч, 196ч-200ч, 202ч, 203ч, 208ч-211ч, 214ч, 217ч, 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842,2</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Лесной кодекс Российской Федерации (ст.115)</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Федеральный закон от 04.12.2006 № 201-ФЗ «О введении в действие Лесного кодекса Российской Федерации» (ст. 8)</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Минприроды России от 05.08.2022 № 510 «Об утверждении Лесоустроительной инструкции»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Федерального агенства лесного хозяйства от 26 августа 2008 г. № 237 «Об утверждении Временных указаний по отнесению лесов к ценным лесам, эксплуатационным лесам, резервным лесам»</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Приказ Гослесхоза СССР от 24.09.1979 № 157 2Инструкция о порядке отнесения лесов к категориям защитности»</w:t>
            </w:r>
          </w:p>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 xml:space="preserve">Приказ Государственного комитета СССР по лесному хозяйству от 23.08.1978 г. № 118 (приложение </w:t>
            </w:r>
            <w:r w:rsidRPr="0069007B">
              <w:rPr>
                <w:rFonts w:ascii="Times New Roman" w:hAnsi="Times New Roman" w:cs="Times New Roman"/>
                <w:bCs/>
                <w:sz w:val="24"/>
                <w:szCs w:val="24"/>
                <w:lang w:bidi="ru-RU"/>
              </w:rPr>
              <w:lastRenderedPageBreak/>
              <w:t>1. Нормативы по выделению запретных полос лесов по берегам рек, озер, водохранилищ и других водных объектов)</w:t>
            </w:r>
          </w:p>
        </w:tc>
      </w:tr>
      <w:tr w:rsidR="0069007B" w:rsidRPr="0069007B" w:rsidTr="008F1469">
        <w:trPr>
          <w:trHeight w:val="198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84ч, 86ч, 91ч, 99ч, 101ч, 103ч, 201ч, 202ч, 205ч-207ч, 210ч, 215ч, 225ч, 232ч, 241ч-243ч, 247ч, 249ч, 251ч-253ч, 268ч, 272ч-278ч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467,3</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82"/>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Итого:</w:t>
            </w:r>
          </w:p>
        </w:tc>
        <w:tc>
          <w:tcPr>
            <w:tcW w:w="2141" w:type="dxa"/>
          </w:tcPr>
          <w:p w:rsidR="0069007B" w:rsidRPr="0069007B" w:rsidRDefault="0069007B" w:rsidP="0069007B">
            <w:pPr>
              <w:jc w:val="both"/>
              <w:rPr>
                <w:rFonts w:ascii="Times New Roman" w:hAnsi="Times New Roman" w:cs="Times New Roman"/>
                <w:bCs/>
                <w:sz w:val="24"/>
                <w:szCs w:val="24"/>
                <w:lang w:bidi="ru-RU"/>
              </w:rPr>
            </w:pP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1309,5</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270"/>
        </w:trPr>
        <w:tc>
          <w:tcPr>
            <w:tcW w:w="2093" w:type="dxa"/>
            <w:gridSpan w:val="2"/>
          </w:tcPr>
          <w:p w:rsidR="0069007B" w:rsidRPr="0069007B" w:rsidRDefault="0069007B" w:rsidP="0069007B">
            <w:pPr>
              <w:jc w:val="both"/>
              <w:rPr>
                <w:rFonts w:ascii="Times New Roman" w:hAnsi="Times New Roman" w:cs="Times New Roman"/>
                <w:bCs/>
                <w:sz w:val="24"/>
                <w:szCs w:val="24"/>
                <w:lang w:bidi="ru-RU"/>
              </w:rPr>
            </w:pPr>
          </w:p>
        </w:tc>
        <w:tc>
          <w:tcPr>
            <w:tcW w:w="3926" w:type="dxa"/>
            <w:gridSpan w:val="4"/>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Защитные леса, всего</w:t>
            </w:r>
          </w:p>
        </w:tc>
        <w:tc>
          <w:tcPr>
            <w:tcW w:w="1210" w:type="dxa"/>
            <w:gridSpan w:val="2"/>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12658,6</w:t>
            </w:r>
          </w:p>
        </w:tc>
        <w:tc>
          <w:tcPr>
            <w:tcW w:w="2062" w:type="dxa"/>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4020"/>
        </w:trPr>
        <w:tc>
          <w:tcPr>
            <w:tcW w:w="2093" w:type="dxa"/>
            <w:gridSpan w:val="2"/>
            <w:vMerge w:val="restart"/>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Эксплуатационные леса</w:t>
            </w: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Новоржевское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1ч, 2ч, 3, 4ч-7ч, 8, 9ч-23ч, 24, 25ч-35ч, 37ч-39ч, 40, 41, 42ч-45ч, 46, 47ч-57ч, 58, 59ч-84ч, 85, 86ч-88ч, 89, 90ч-99ч, 101ч-106ч, 109ч-116ч, 118ч-128ч, 130ч, 121, 133ч, 136ч, 137ч, 140ч-148ч, 150ч, 151ч, 152, 153ч-155ч, 156, 157ч-159ч, 160, 161ч-165ч, 167ч-204ч, 208ч-212ч, 213, 214ч-220ч</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26441,4</w:t>
            </w:r>
          </w:p>
        </w:tc>
        <w:tc>
          <w:tcPr>
            <w:tcW w:w="2062" w:type="dxa"/>
            <w:vMerge w:val="restart"/>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rPr>
          <w:trHeight w:val="300"/>
        </w:trPr>
        <w:tc>
          <w:tcPr>
            <w:tcW w:w="2093" w:type="dxa"/>
            <w:gridSpan w:val="2"/>
            <w:vMerge/>
          </w:tcPr>
          <w:p w:rsidR="0069007B" w:rsidRPr="0069007B" w:rsidRDefault="0069007B" w:rsidP="0069007B">
            <w:pPr>
              <w:jc w:val="both"/>
              <w:rPr>
                <w:rFonts w:ascii="Times New Roman" w:hAnsi="Times New Roman" w:cs="Times New Roman"/>
                <w:bCs/>
                <w:sz w:val="24"/>
                <w:szCs w:val="24"/>
                <w:lang w:bidi="ru-RU"/>
              </w:rPr>
            </w:pPr>
          </w:p>
        </w:tc>
        <w:tc>
          <w:tcPr>
            <w:tcW w:w="1785" w:type="dxa"/>
            <w:gridSpan w:val="3"/>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Стехновское</w:t>
            </w:r>
          </w:p>
        </w:tc>
        <w:tc>
          <w:tcPr>
            <w:tcW w:w="2141" w:type="dxa"/>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 2ч-4ч, 5-7, 8ч, 9ч, 15ч, 16ч, 17, 18, 24ч, 25-27, 28ч-30ч, 37ч, 38-40, 41ч-46ч, 47, 48ч-51ч, 62ч-71ч, 72, 73, 74ч, 83ч, 84ч, 85, 86ч, 87ч, 91ч-93ч, 98ч, 99ч, 100, 101ч, 103ч, 201ч-203ч, 204, 205ч-210ч, 212-214, 215ч, 221ч-223ч, 224, 225ч, 228ч-239ч, 240, 241ч-249ч, 250, 251ч-253ч, 254, 255ч-257ч, 25, 259ч, 260, 261ч-268ч, 269, 270ч-278ч, 279, 280ч, 281, 282, 283ч, 285, 286, 287ч, 288-291</w:t>
            </w:r>
          </w:p>
        </w:tc>
        <w:tc>
          <w:tcPr>
            <w:tcW w:w="1210" w:type="dxa"/>
            <w:gridSpan w:val="2"/>
          </w:tcPr>
          <w:p w:rsidR="0069007B" w:rsidRPr="0069007B" w:rsidRDefault="0069007B" w:rsidP="0069007B">
            <w:pPr>
              <w:jc w:val="both"/>
              <w:rPr>
                <w:rFonts w:ascii="Times New Roman" w:hAnsi="Times New Roman" w:cs="Times New Roman"/>
                <w:bCs/>
                <w:sz w:val="24"/>
                <w:szCs w:val="24"/>
                <w:lang w:bidi="ru-RU"/>
              </w:rPr>
            </w:pPr>
            <w:r w:rsidRPr="0069007B">
              <w:rPr>
                <w:rFonts w:ascii="Times New Roman" w:hAnsi="Times New Roman" w:cs="Times New Roman"/>
                <w:bCs/>
                <w:sz w:val="24"/>
                <w:szCs w:val="24"/>
                <w:lang w:bidi="ru-RU"/>
              </w:rPr>
              <w:t>15527,0</w:t>
            </w:r>
          </w:p>
        </w:tc>
        <w:tc>
          <w:tcPr>
            <w:tcW w:w="2062" w:type="dxa"/>
            <w:vMerge/>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blPrEx>
          <w:tblLook w:val="0000" w:firstRow="0" w:lastRow="0" w:firstColumn="0" w:lastColumn="0" w:noHBand="0" w:noVBand="0"/>
        </w:tblPrEx>
        <w:trPr>
          <w:trHeight w:val="284"/>
        </w:trPr>
        <w:tc>
          <w:tcPr>
            <w:tcW w:w="2070" w:type="dxa"/>
          </w:tcPr>
          <w:p w:rsidR="0069007B" w:rsidRPr="0069007B" w:rsidRDefault="0069007B" w:rsidP="0069007B">
            <w:pPr>
              <w:jc w:val="both"/>
              <w:rPr>
                <w:rFonts w:ascii="Times New Roman" w:hAnsi="Times New Roman" w:cs="Times New Roman"/>
                <w:bCs/>
                <w:sz w:val="24"/>
                <w:szCs w:val="24"/>
                <w:lang w:bidi="ru-RU"/>
              </w:rPr>
            </w:pPr>
          </w:p>
        </w:tc>
        <w:tc>
          <w:tcPr>
            <w:tcW w:w="3949" w:type="dxa"/>
            <w:gridSpan w:val="5"/>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Эксплуатационные леса, всего</w:t>
            </w:r>
          </w:p>
        </w:tc>
        <w:tc>
          <w:tcPr>
            <w:tcW w:w="1200"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41968,4</w:t>
            </w:r>
          </w:p>
        </w:tc>
        <w:tc>
          <w:tcPr>
            <w:tcW w:w="2072" w:type="dxa"/>
            <w:gridSpan w:val="2"/>
          </w:tcPr>
          <w:p w:rsidR="0069007B" w:rsidRPr="0069007B" w:rsidRDefault="0069007B" w:rsidP="0069007B">
            <w:pPr>
              <w:jc w:val="both"/>
              <w:rPr>
                <w:rFonts w:ascii="Times New Roman" w:hAnsi="Times New Roman" w:cs="Times New Roman"/>
                <w:bCs/>
                <w:sz w:val="24"/>
                <w:szCs w:val="24"/>
                <w:lang w:bidi="ru-RU"/>
              </w:rPr>
            </w:pPr>
          </w:p>
        </w:tc>
      </w:tr>
      <w:tr w:rsidR="0069007B" w:rsidRPr="0069007B" w:rsidTr="008F1469">
        <w:tblPrEx>
          <w:tblLook w:val="0000" w:firstRow="0" w:lastRow="0" w:firstColumn="0" w:lastColumn="0" w:noHBand="0" w:noVBand="0"/>
        </w:tblPrEx>
        <w:trPr>
          <w:trHeight w:val="345"/>
        </w:trPr>
        <w:tc>
          <w:tcPr>
            <w:tcW w:w="2070"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Всего</w:t>
            </w:r>
          </w:p>
        </w:tc>
        <w:tc>
          <w:tcPr>
            <w:tcW w:w="1785" w:type="dxa"/>
            <w:gridSpan w:val="3"/>
          </w:tcPr>
          <w:p w:rsidR="0069007B" w:rsidRPr="0069007B" w:rsidRDefault="0069007B" w:rsidP="0069007B">
            <w:pPr>
              <w:jc w:val="both"/>
              <w:rPr>
                <w:rFonts w:ascii="Times New Roman" w:hAnsi="Times New Roman" w:cs="Times New Roman"/>
                <w:b/>
                <w:bCs/>
                <w:sz w:val="24"/>
                <w:szCs w:val="24"/>
                <w:lang w:bidi="ru-RU"/>
              </w:rPr>
            </w:pPr>
          </w:p>
        </w:tc>
        <w:tc>
          <w:tcPr>
            <w:tcW w:w="2164" w:type="dxa"/>
            <w:gridSpan w:val="2"/>
          </w:tcPr>
          <w:p w:rsidR="0069007B" w:rsidRPr="0069007B" w:rsidRDefault="0069007B" w:rsidP="0069007B">
            <w:pPr>
              <w:jc w:val="both"/>
              <w:rPr>
                <w:rFonts w:ascii="Times New Roman" w:hAnsi="Times New Roman" w:cs="Times New Roman"/>
                <w:b/>
                <w:bCs/>
                <w:sz w:val="24"/>
                <w:szCs w:val="24"/>
                <w:lang w:bidi="ru-RU"/>
              </w:rPr>
            </w:pPr>
          </w:p>
        </w:tc>
        <w:tc>
          <w:tcPr>
            <w:tcW w:w="1200" w:type="dxa"/>
          </w:tcPr>
          <w:p w:rsidR="0069007B" w:rsidRPr="0069007B" w:rsidRDefault="0069007B" w:rsidP="0069007B">
            <w:pPr>
              <w:jc w:val="both"/>
              <w:rPr>
                <w:rFonts w:ascii="Times New Roman" w:hAnsi="Times New Roman" w:cs="Times New Roman"/>
                <w:b/>
                <w:bCs/>
                <w:sz w:val="24"/>
                <w:szCs w:val="24"/>
                <w:lang w:bidi="ru-RU"/>
              </w:rPr>
            </w:pPr>
            <w:r w:rsidRPr="0069007B">
              <w:rPr>
                <w:rFonts w:ascii="Times New Roman" w:hAnsi="Times New Roman" w:cs="Times New Roman"/>
                <w:b/>
                <w:bCs/>
                <w:sz w:val="24"/>
                <w:szCs w:val="24"/>
                <w:lang w:bidi="ru-RU"/>
              </w:rPr>
              <w:t>54627,0</w:t>
            </w:r>
          </w:p>
        </w:tc>
        <w:tc>
          <w:tcPr>
            <w:tcW w:w="2072" w:type="dxa"/>
            <w:gridSpan w:val="2"/>
          </w:tcPr>
          <w:p w:rsidR="0069007B" w:rsidRPr="0069007B" w:rsidRDefault="0069007B" w:rsidP="0069007B">
            <w:pPr>
              <w:jc w:val="both"/>
              <w:rPr>
                <w:rFonts w:ascii="Times New Roman" w:hAnsi="Times New Roman" w:cs="Times New Roman"/>
                <w:bCs/>
                <w:sz w:val="24"/>
                <w:szCs w:val="24"/>
                <w:lang w:bidi="ru-RU"/>
              </w:rPr>
            </w:pPr>
          </w:p>
        </w:tc>
      </w:tr>
    </w:tbl>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lastRenderedPageBreak/>
        <w:t>Леса, расположенные на особо охраняемых природных территориях, отнесены ст. 102 Лесного Кодекса Российской Федерации к категории «защитные леса». Согласно п.26 ст.81 Лесного Кодекса Российской Федерации проектирование защитных лесов относится к полномочиям органов государственной власти Российской Федерации. Перевод лесов, расположенных на ООПТ, в категорию защитных лесов будет произведен после издания Рослесхозом приказа об отнесении этих лесов к защитным лесам.</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Согласно п.3 ст. 103 Лесного Кодекса Российской Федерации в лесах, расположенных на территориях государственных природных заказников, запрещается проведение сплошных рубок лесных насаждений, если иное не предусмотрено правовым режимом зон, установленных в границах этих особо охраняемых природных территорий.</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Состав всех лесов Бежаницкого лесничества в границах территории Новоржевского района:</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xml:space="preserve">- Леса, расположенные на особо охраняемых природных терри¬ториях (ООПТ) занимают 6320,3 га, что составляет 12%;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Леса, расположенные в водоохранных зонах занимают - 3226 га, что составляет 6 %;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Леса, выполняющие функции защиты природных и иных объектов занимают – 1803,1 га, что составляет 3%;</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Ценные леса занимают – 1309,5 га, что составляет 2 %;</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 Эксплуатационные леса занимают – 41968,4 га, что составляет 77%.</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Площадь земель лесного фонда представлена на 83% лесными землями, из которых 82% составляют покрытые лесной растительностью земли и 1% - не покрытые лесной растительностью земли. Нелесные земли занимают 17% площади лесничества, среди них преобладают болота (15%).</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В соответствии с Федеральным законом от 14.03.1995 № 33-ФЗ «Об особо охраняе</w:t>
      </w:r>
      <w:r w:rsidRPr="000D5536">
        <w:rPr>
          <w:rFonts w:ascii="Times New Roman" w:hAnsi="Times New Roman" w:cs="Times New Roman"/>
          <w:sz w:val="24"/>
          <w:szCs w:val="24"/>
          <w:lang w:bidi="ru-RU"/>
        </w:rPr>
        <w:softHyphen/>
        <w:t>мых природных территориях» (в редакции ФЗ от 2001-2009 гг.) (п. 4, ст. 2) особо охраняемые природные территории (ООПТ) могут иметь федеральное, региональное или местное значе</w:t>
      </w:r>
      <w:r w:rsidRPr="000D5536">
        <w:rPr>
          <w:rFonts w:ascii="Times New Roman" w:hAnsi="Times New Roman" w:cs="Times New Roman"/>
          <w:sz w:val="24"/>
          <w:szCs w:val="24"/>
          <w:lang w:bidi="ru-RU"/>
        </w:rPr>
        <w:softHyphen/>
        <w:t>ние.</w:t>
      </w:r>
    </w:p>
    <w:p w:rsidR="000D5536" w:rsidRPr="000D5536" w:rsidRDefault="000D5536" w:rsidP="000D5536">
      <w:pPr>
        <w:spacing w:after="0" w:line="240" w:lineRule="auto"/>
        <w:jc w:val="both"/>
        <w:rPr>
          <w:rFonts w:ascii="Times New Roman" w:hAnsi="Times New Roman" w:cs="Times New Roman"/>
          <w:sz w:val="24"/>
          <w:szCs w:val="24"/>
          <w:lang w:bidi="ru-RU"/>
        </w:rPr>
      </w:pPr>
      <w:r w:rsidRPr="000D5536">
        <w:rPr>
          <w:rFonts w:ascii="Times New Roman" w:hAnsi="Times New Roman" w:cs="Times New Roman"/>
          <w:sz w:val="24"/>
          <w:szCs w:val="24"/>
          <w:lang w:bidi="ru-RU"/>
        </w:rPr>
        <w:t>На территории лесничества в границах Новоржевского района расположен государственный природный зоологиче</w:t>
      </w:r>
      <w:r w:rsidRPr="000D5536">
        <w:rPr>
          <w:rFonts w:ascii="Times New Roman" w:hAnsi="Times New Roman" w:cs="Times New Roman"/>
          <w:sz w:val="24"/>
          <w:szCs w:val="24"/>
          <w:lang w:bidi="ru-RU"/>
        </w:rPr>
        <w:softHyphen/>
        <w:t>ский заказник регионального значения.</w:t>
      </w:r>
    </w:p>
    <w:p w:rsidR="003D4946" w:rsidRPr="003D4946" w:rsidRDefault="003D4946" w:rsidP="0069007B">
      <w:pPr>
        <w:spacing w:after="0" w:line="240" w:lineRule="auto"/>
        <w:rPr>
          <w:rFonts w:ascii="Times New Roman" w:hAnsi="Times New Roman" w:cs="Times New Roman"/>
          <w:sz w:val="24"/>
          <w:szCs w:val="24"/>
          <w:lang w:bidi="ru-RU"/>
        </w:rPr>
      </w:pPr>
    </w:p>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bidi="ru-RU"/>
        </w:rPr>
        <w:t>Таблица 6 - Характеристика особо охраняемых природных территорий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44"/>
        <w:gridCol w:w="1317"/>
        <w:gridCol w:w="1543"/>
        <w:gridCol w:w="942"/>
        <w:gridCol w:w="2444"/>
        <w:gridCol w:w="1443"/>
      </w:tblGrid>
      <w:tr w:rsidR="003D4946" w:rsidRPr="003D4946" w:rsidTr="003D4946">
        <w:trPr>
          <w:trHeight w:val="23"/>
          <w:jc w:val="center"/>
        </w:trPr>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ООПТ</w:t>
            </w:r>
          </w:p>
        </w:tc>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Профиль</w:t>
            </w:r>
          </w:p>
        </w:tc>
        <w:tc>
          <w:tcPr>
            <w:tcW w:w="946"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Краткая характеристика</w:t>
            </w: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Площадь, га</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Местонахождение</w:t>
            </w:r>
          </w:p>
        </w:tc>
        <w:tc>
          <w:tcPr>
            <w:tcW w:w="83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Основание для отнесения к ООПТ</w:t>
            </w:r>
          </w:p>
        </w:tc>
      </w:tr>
      <w:tr w:rsidR="003D4946" w:rsidRPr="003D4946" w:rsidTr="003D4946">
        <w:trPr>
          <w:trHeight w:val="23"/>
          <w:jc w:val="center"/>
        </w:trPr>
        <w:tc>
          <w:tcPr>
            <w:tcW w:w="5000" w:type="pct"/>
            <w:gridSpan w:val="6"/>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ООПТ регионального значения</w:t>
            </w:r>
          </w:p>
        </w:tc>
      </w:tr>
      <w:tr w:rsidR="003D4946" w:rsidRPr="003D4946" w:rsidTr="003D4946">
        <w:trPr>
          <w:trHeight w:val="23"/>
          <w:jc w:val="center"/>
        </w:trPr>
        <w:tc>
          <w:tcPr>
            <w:tcW w:w="833"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Новоржевский государственный природный зоологический заказник регионального значения</w:t>
            </w:r>
          </w:p>
        </w:tc>
        <w:tc>
          <w:tcPr>
            <w:tcW w:w="833"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 xml:space="preserve">зоологический заказник </w:t>
            </w:r>
          </w:p>
        </w:tc>
        <w:tc>
          <w:tcPr>
            <w:tcW w:w="946"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государственный природный зоологический заказник регионального значения</w:t>
            </w: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5105,0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Стехновское</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10-14,19-24,31-37,52-61,75</w:t>
            </w:r>
            <w:r w:rsidRPr="003D4946">
              <w:rPr>
                <w:rFonts w:ascii="Times New Roman" w:hAnsi="Times New Roman" w:cs="Times New Roman"/>
                <w:sz w:val="24"/>
                <w:szCs w:val="24"/>
                <w:lang w:bidi="ru-RU"/>
              </w:rPr>
              <w:softHyphen/>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82,88-90,95-98,102</w:t>
            </w:r>
          </w:p>
        </w:tc>
        <w:tc>
          <w:tcPr>
            <w:tcW w:w="834" w:type="pct"/>
            <w:vMerge w:val="restar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Постановление Администрации Псковской области от 27.06.2005 № 266</w:t>
            </w:r>
          </w:p>
        </w:tc>
      </w:tr>
      <w:tr w:rsidR="003D4946" w:rsidRPr="003D4946" w:rsidTr="003D4946">
        <w:trPr>
          <w:trHeight w:val="23"/>
          <w:jc w:val="center"/>
        </w:trPr>
        <w:tc>
          <w:tcPr>
            <w:tcW w:w="833"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833"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946"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1543,0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Новоржевское</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27,36,100,106,107,108,115,1</w:t>
            </w:r>
          </w:p>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bidi="ru-RU"/>
              </w:rPr>
              <w:t>17,118,121</w:t>
            </w:r>
          </w:p>
        </w:tc>
        <w:tc>
          <w:tcPr>
            <w:tcW w:w="834" w:type="pct"/>
            <w:vMerge/>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sz w:val="24"/>
                <w:szCs w:val="24"/>
              </w:rPr>
            </w:pPr>
          </w:p>
        </w:tc>
      </w:tr>
      <w:tr w:rsidR="003D4946" w:rsidRPr="003D4946" w:rsidTr="003D4946">
        <w:trPr>
          <w:trHeight w:val="23"/>
          <w:jc w:val="center"/>
        </w:trPr>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bidi="ru-RU"/>
              </w:rPr>
              <w:t>Итого</w:t>
            </w:r>
          </w:p>
        </w:tc>
        <w:tc>
          <w:tcPr>
            <w:tcW w:w="833"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946"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610"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bidi="ru-RU"/>
              </w:rPr>
              <w:t>6648,0</w:t>
            </w:r>
          </w:p>
        </w:tc>
        <w:tc>
          <w:tcPr>
            <w:tcW w:w="94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c>
          <w:tcPr>
            <w:tcW w:w="834" w:type="pct"/>
            <w:tcBorders>
              <w:tl2br w:val="nil"/>
              <w:tr2bl w:val="nil"/>
            </w:tcBorders>
            <w:shd w:val="clear" w:color="auto" w:fill="FFFFFF"/>
            <w:vAlign w:val="center"/>
          </w:tcPr>
          <w:p w:rsidR="003D4946" w:rsidRPr="003D4946" w:rsidRDefault="003D4946" w:rsidP="0069007B">
            <w:pPr>
              <w:spacing w:after="0" w:line="240" w:lineRule="auto"/>
              <w:rPr>
                <w:rFonts w:ascii="Times New Roman" w:hAnsi="Times New Roman" w:cs="Times New Roman"/>
                <w:b/>
                <w:bCs/>
                <w:sz w:val="24"/>
                <w:szCs w:val="24"/>
              </w:rPr>
            </w:pPr>
          </w:p>
        </w:tc>
      </w:tr>
    </w:tbl>
    <w:p w:rsidR="003D4946" w:rsidRPr="003D4946" w:rsidRDefault="003D4946" w:rsidP="0069007B">
      <w:pPr>
        <w:spacing w:after="0" w:line="240" w:lineRule="auto"/>
        <w:rPr>
          <w:rFonts w:ascii="Times New Roman" w:hAnsi="Times New Roman" w:cs="Times New Roman"/>
          <w:b/>
          <w:bCs/>
          <w:sz w:val="24"/>
          <w:szCs w:val="24"/>
          <w:lang w:bidi="ru-RU"/>
        </w:rPr>
      </w:pPr>
    </w:p>
    <w:p w:rsidR="003D4946" w:rsidRPr="003D4946" w:rsidRDefault="003D4946" w:rsidP="0069007B">
      <w:pPr>
        <w:spacing w:after="0" w:line="240" w:lineRule="auto"/>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Таблица 7 - Характеристика ООПТ местного значения, которых нет на территории Бежаницкого лесничества, они находятся на землях Новоржевского муниципального района Псковской области</w:t>
      </w:r>
    </w:p>
    <w:tbl>
      <w:tblPr>
        <w:tblW w:w="5000" w:type="pct"/>
        <w:jc w:val="center"/>
        <w:tblCellMar>
          <w:left w:w="10" w:type="dxa"/>
          <w:right w:w="10" w:type="dxa"/>
        </w:tblCellMar>
        <w:tblLook w:val="04A0" w:firstRow="1" w:lastRow="0" w:firstColumn="1" w:lastColumn="0" w:noHBand="0" w:noVBand="1"/>
      </w:tblPr>
      <w:tblGrid>
        <w:gridCol w:w="1347"/>
        <w:gridCol w:w="1165"/>
        <w:gridCol w:w="1466"/>
        <w:gridCol w:w="907"/>
        <w:gridCol w:w="1641"/>
        <w:gridCol w:w="2707"/>
      </w:tblGrid>
      <w:tr w:rsidR="003D4946" w:rsidRPr="003D4946" w:rsidTr="003D4946">
        <w:trPr>
          <w:trHeight w:val="227"/>
          <w:tblHeader/>
          <w:jc w:val="center"/>
        </w:trPr>
        <w:tc>
          <w:tcPr>
            <w:tcW w:w="833"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lastRenderedPageBreak/>
              <w:t>Наименование ООПТ</w:t>
            </w:r>
          </w:p>
        </w:tc>
        <w:tc>
          <w:tcPr>
            <w:tcW w:w="833"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Профиль</w:t>
            </w:r>
          </w:p>
        </w:tc>
        <w:tc>
          <w:tcPr>
            <w:tcW w:w="946"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Краткая характеристика</w:t>
            </w:r>
          </w:p>
        </w:tc>
        <w:tc>
          <w:tcPr>
            <w:tcW w:w="610"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Площадь, га</w:t>
            </w:r>
          </w:p>
        </w:tc>
        <w:tc>
          <w:tcPr>
            <w:tcW w:w="944"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Местонахождение</w:t>
            </w:r>
          </w:p>
        </w:tc>
        <w:tc>
          <w:tcPr>
            <w:tcW w:w="834" w:type="pct"/>
            <w:tcBorders>
              <w:top w:val="single" w:sz="4" w:space="0" w:color="auto"/>
              <w:left w:val="single" w:sz="4" w:space="0" w:color="auto"/>
              <w:righ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rPr>
              <w:t>Основание для отнесения к ООПТ</w:t>
            </w:r>
          </w:p>
        </w:tc>
      </w:tr>
      <w:tr w:rsidR="003D4946" w:rsidRPr="003D4946" w:rsidTr="003D4946">
        <w:trPr>
          <w:trHeight w:val="227"/>
          <w:jc w:val="center"/>
        </w:trPr>
        <w:tc>
          <w:tcPr>
            <w:tcW w:w="5000" w:type="pct"/>
            <w:gridSpan w:val="6"/>
            <w:tcBorders>
              <w:top w:val="single" w:sz="4" w:space="0" w:color="auto"/>
              <w:left w:val="single" w:sz="4" w:space="0" w:color="auto"/>
              <w:righ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ООПТ местного значения</w:t>
            </w:r>
          </w:p>
        </w:tc>
      </w:tr>
      <w:tr w:rsidR="003D4946" w:rsidRPr="003D4946" w:rsidTr="003D4946">
        <w:trPr>
          <w:trHeight w:val="227"/>
          <w:jc w:val="center"/>
        </w:trPr>
        <w:tc>
          <w:tcPr>
            <w:tcW w:w="833"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Природный ком</w:t>
            </w:r>
            <w:r w:rsidRPr="003D4946">
              <w:rPr>
                <w:rFonts w:ascii="Times New Roman" w:hAnsi="Times New Roman" w:cs="Times New Roman"/>
                <w:sz w:val="24"/>
                <w:szCs w:val="24"/>
                <w:lang w:val="en-US"/>
              </w:rPr>
              <w:softHyphen/>
              <w:t>плекс</w:t>
            </w:r>
          </w:p>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Озеро Рахново</w:t>
            </w:r>
          </w:p>
        </w:tc>
        <w:tc>
          <w:tcPr>
            <w:tcW w:w="833"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комплексный</w:t>
            </w:r>
          </w:p>
        </w:tc>
        <w:tc>
          <w:tcPr>
            <w:tcW w:w="946"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p>
        </w:tc>
        <w:tc>
          <w:tcPr>
            <w:tcW w:w="610"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58,8</w:t>
            </w:r>
          </w:p>
        </w:tc>
        <w:tc>
          <w:tcPr>
            <w:tcW w:w="944" w:type="pct"/>
            <w:tcBorders>
              <w:top w:val="single" w:sz="4" w:space="0" w:color="auto"/>
              <w:lef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Новоржев</w:t>
            </w:r>
            <w:r w:rsidRPr="003D4946">
              <w:rPr>
                <w:rFonts w:ascii="Times New Roman" w:hAnsi="Times New Roman" w:cs="Times New Roman"/>
                <w:sz w:val="24"/>
                <w:szCs w:val="24"/>
                <w:lang w:val="en-US"/>
              </w:rPr>
              <w:softHyphen/>
              <w:t xml:space="preserve">ский </w:t>
            </w:r>
          </w:p>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р-н</w:t>
            </w:r>
          </w:p>
        </w:tc>
        <w:tc>
          <w:tcPr>
            <w:tcW w:w="834" w:type="pct"/>
            <w:tcBorders>
              <w:top w:val="single" w:sz="4" w:space="0" w:color="auto"/>
              <w:left w:val="single" w:sz="4" w:space="0" w:color="auto"/>
              <w:righ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bidi="ru-RU"/>
              </w:rPr>
              <w:t>Постановление</w:t>
            </w:r>
            <w:r w:rsidRPr="003D4946">
              <w:rPr>
                <w:rFonts w:ascii="Times New Roman" w:hAnsi="Times New Roman" w:cs="Times New Roman"/>
                <w:sz w:val="24"/>
                <w:szCs w:val="24"/>
                <w:lang w:val="en-US"/>
              </w:rPr>
              <w:t xml:space="preserve"> </w:t>
            </w:r>
            <w:r w:rsidRPr="003D4946">
              <w:rPr>
                <w:rFonts w:ascii="Times New Roman" w:hAnsi="Times New Roman" w:cs="Times New Roman"/>
                <w:sz w:val="24"/>
                <w:szCs w:val="24"/>
                <w:lang w:bidi="ru-RU"/>
              </w:rPr>
              <w:t>Администрации</w:t>
            </w:r>
            <w:r w:rsidRPr="003D4946">
              <w:rPr>
                <w:rFonts w:ascii="Times New Roman" w:hAnsi="Times New Roman" w:cs="Times New Roman"/>
                <w:sz w:val="24"/>
                <w:szCs w:val="24"/>
                <w:lang w:val="en-US"/>
              </w:rPr>
              <w:t>Новоржевского района от 14.07.2008 №17</w:t>
            </w:r>
          </w:p>
        </w:tc>
      </w:tr>
      <w:tr w:rsidR="003D4946" w:rsidRPr="003D4946" w:rsidTr="003D4946">
        <w:trPr>
          <w:trHeight w:val="227"/>
          <w:jc w:val="center"/>
        </w:trPr>
        <w:tc>
          <w:tcPr>
            <w:tcW w:w="833" w:type="pct"/>
            <w:tcBorders>
              <w:top w:val="single" w:sz="4" w:space="0" w:color="auto"/>
              <w:left w:val="single" w:sz="4" w:space="0" w:color="auto"/>
              <w:bottom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bidi="ru-RU"/>
              </w:rPr>
            </w:pPr>
            <w:r w:rsidRPr="003D4946">
              <w:rPr>
                <w:rFonts w:ascii="Times New Roman" w:hAnsi="Times New Roman" w:cs="Times New Roman"/>
                <w:sz w:val="24"/>
                <w:szCs w:val="24"/>
                <w:lang w:bidi="ru-RU"/>
              </w:rPr>
              <w:t>Природный ком</w:t>
            </w:r>
            <w:r w:rsidRPr="003D4946">
              <w:rPr>
                <w:rFonts w:ascii="Times New Roman" w:hAnsi="Times New Roman" w:cs="Times New Roman"/>
                <w:sz w:val="24"/>
                <w:szCs w:val="24"/>
                <w:lang w:bidi="ru-RU"/>
              </w:rPr>
              <w:softHyphen/>
              <w:t>плекс местного значения Погост Лобно</w:t>
            </w:r>
          </w:p>
        </w:tc>
        <w:tc>
          <w:tcPr>
            <w:tcW w:w="833" w:type="pct"/>
            <w:tcBorders>
              <w:top w:val="single" w:sz="4" w:space="0" w:color="auto"/>
              <w:left w:val="single" w:sz="4" w:space="0" w:color="auto"/>
              <w:bottom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природный</w:t>
            </w:r>
          </w:p>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комплекс</w:t>
            </w:r>
          </w:p>
        </w:tc>
        <w:tc>
          <w:tcPr>
            <w:tcW w:w="946" w:type="pct"/>
            <w:tcBorders>
              <w:top w:val="single" w:sz="4" w:space="0" w:color="auto"/>
              <w:left w:val="single" w:sz="4" w:space="0" w:color="auto"/>
              <w:bottom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p>
        </w:tc>
        <w:tc>
          <w:tcPr>
            <w:tcW w:w="610" w:type="pct"/>
            <w:tcBorders>
              <w:top w:val="single" w:sz="4" w:space="0" w:color="auto"/>
              <w:left w:val="single" w:sz="4" w:space="0" w:color="auto"/>
              <w:bottom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588,0</w:t>
            </w:r>
          </w:p>
        </w:tc>
        <w:tc>
          <w:tcPr>
            <w:tcW w:w="944" w:type="pct"/>
            <w:tcBorders>
              <w:top w:val="single" w:sz="4" w:space="0" w:color="auto"/>
              <w:left w:val="single" w:sz="4" w:space="0" w:color="auto"/>
              <w:bottom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Новоржевское</w:t>
            </w:r>
          </w:p>
          <w:p w:rsidR="003D4946" w:rsidRPr="003D4946" w:rsidRDefault="003D4946" w:rsidP="0069007B">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194ч.,195,196,197</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69007B">
            <w:pPr>
              <w:spacing w:after="0" w:line="240" w:lineRule="auto"/>
              <w:rPr>
                <w:rFonts w:ascii="Times New Roman" w:hAnsi="Times New Roman" w:cs="Times New Roman"/>
                <w:sz w:val="24"/>
                <w:szCs w:val="24"/>
                <w:lang w:bidi="ru-RU"/>
              </w:rPr>
            </w:pPr>
            <w:r w:rsidRPr="003D4946">
              <w:rPr>
                <w:rFonts w:ascii="Times New Roman" w:hAnsi="Times New Roman" w:cs="Times New Roman"/>
                <w:sz w:val="24"/>
                <w:szCs w:val="24"/>
                <w:lang w:bidi="ru-RU"/>
              </w:rPr>
              <w:t>Постановление Администрации Новоржевского района от 14.07.2008 №16</w:t>
            </w:r>
          </w:p>
        </w:tc>
      </w:tr>
    </w:tbl>
    <w:p w:rsidR="003D4946" w:rsidRPr="003D4946" w:rsidRDefault="003D4946" w:rsidP="0069007B">
      <w:pPr>
        <w:spacing w:after="0" w:line="240" w:lineRule="auto"/>
        <w:rPr>
          <w:rFonts w:ascii="Times New Roman" w:hAnsi="Times New Roman" w:cs="Times New Roman"/>
          <w:sz w:val="24"/>
          <w:szCs w:val="24"/>
        </w:rPr>
      </w:pP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Использование лесов на особо охраняемых природных территориях осуществляется в соответствии с приказом МНР России от 16 июля 2007 г. № 181 «Об утверждении Особенностей использования, охраны, защиты, воспроизводства лесов, расположенных на особо охраняемых природных территориях». Отдельные ООНТ в лесничестве отнесены к водно-болотным угодьям международного значения.</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в соответствии с частью 4 статьи 12 Лесного кодекса Российской Федерации подлежат освоению в целях со</w:t>
      </w:r>
      <w:r w:rsidRPr="003D4946">
        <w:rPr>
          <w:rFonts w:ascii="Times New Roman" w:hAnsi="Times New Roman" w:cs="Times New Roman"/>
          <w:sz w:val="24"/>
          <w:szCs w:val="24"/>
        </w:rPr>
        <w:softHyphen/>
        <w:t>хранения средообразующих, водоохранных, защитных, санитарно-гигиенических, оздорови</w:t>
      </w:r>
      <w:r w:rsidRPr="003D4946">
        <w:rPr>
          <w:rFonts w:ascii="Times New Roman" w:hAnsi="Times New Roman" w:cs="Times New Roman"/>
          <w:sz w:val="24"/>
          <w:szCs w:val="24"/>
        </w:rPr>
        <w:softHyphen/>
        <w:t>тельных и иных полезных функций лесов с одновременным использованием лесов при усло</w:t>
      </w:r>
      <w:r w:rsidRPr="003D4946">
        <w:rPr>
          <w:rFonts w:ascii="Times New Roman" w:hAnsi="Times New Roman" w:cs="Times New Roman"/>
          <w:sz w:val="24"/>
          <w:szCs w:val="24"/>
        </w:rPr>
        <w:softHyphen/>
        <w:t>вии, если это использование совместимо с целевым назначением защитных лесов и выполня</w:t>
      </w:r>
      <w:r w:rsidRPr="003D4946">
        <w:rPr>
          <w:rFonts w:ascii="Times New Roman" w:hAnsi="Times New Roman" w:cs="Times New Roman"/>
          <w:sz w:val="24"/>
          <w:szCs w:val="24"/>
        </w:rPr>
        <w:softHyphen/>
        <w:t>емыми ими полезными функциями.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используются в соответствии с режимом особой охраны особо охраняемой природной территории и целевым назначением земель, определяемыми лесным законодательством Российской Федерации, за</w:t>
      </w:r>
      <w:r w:rsidRPr="003D4946">
        <w:rPr>
          <w:rFonts w:ascii="Times New Roman" w:hAnsi="Times New Roman" w:cs="Times New Roman"/>
          <w:sz w:val="24"/>
          <w:szCs w:val="24"/>
        </w:rPr>
        <w:softHyphen/>
        <w:t>конодательством Российской Федерации об особо охраняемых природных территориях и по</w:t>
      </w:r>
      <w:r w:rsidRPr="003D4946">
        <w:rPr>
          <w:rFonts w:ascii="Times New Roman" w:hAnsi="Times New Roman" w:cs="Times New Roman"/>
          <w:sz w:val="24"/>
          <w:szCs w:val="24"/>
        </w:rPr>
        <w:softHyphen/>
        <w:t>ложением о соответствующей особо охраняемой природной территории.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особо охраняемых природных территориях, запрещается осуществление деятельности, несовместимой с их целевым назначением и полезными функ</w:t>
      </w:r>
      <w:r w:rsidRPr="003D4946">
        <w:rPr>
          <w:rFonts w:ascii="Times New Roman" w:hAnsi="Times New Roman" w:cs="Times New Roman"/>
          <w:sz w:val="24"/>
          <w:szCs w:val="24"/>
        </w:rPr>
        <w:softHyphen/>
        <w:t>циями.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w:t>
      </w:r>
      <w:r w:rsidRPr="003D4946">
        <w:rPr>
          <w:rFonts w:ascii="Times New Roman" w:hAnsi="Times New Roman" w:cs="Times New Roman"/>
          <w:sz w:val="24"/>
          <w:szCs w:val="24"/>
        </w:rPr>
        <w:softHyphen/>
        <w:t>ленных в границах этих особо охраняемых природных территорий.</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Особенности проведения выборочных рубок лесных насаждений и в установленных федеральными законами случаях сплошных рубок лесных насаждений определяются поло</w:t>
      </w:r>
      <w:r w:rsidRPr="003D4946">
        <w:rPr>
          <w:rFonts w:ascii="Times New Roman" w:hAnsi="Times New Roman" w:cs="Times New Roman"/>
          <w:sz w:val="24"/>
          <w:szCs w:val="24"/>
        </w:rPr>
        <w:softHyphen/>
        <w:t>жениями о соответствующих особо охраняемых природных территориях.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комплексных (ландшафтных), биологических (ботанических и зоологических), палеонтологических, гидрологических, геологических гос</w:t>
      </w:r>
      <w:r w:rsidRPr="003D4946">
        <w:rPr>
          <w:rFonts w:ascii="Times New Roman" w:hAnsi="Times New Roman" w:cs="Times New Roman"/>
          <w:sz w:val="24"/>
          <w:szCs w:val="24"/>
        </w:rPr>
        <w:softHyphen/>
        <w:t>ударственных природных заказников запрещается проведение сплошных рубок лесных насаждений, если иное не предусмотрено положением о соответствующем государственном природном заказнике.</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зоологических государственных природных заказников, предназначенных для сохранения редких и исчезающих видов животных, допус</w:t>
      </w:r>
      <w:r w:rsidRPr="003D4946">
        <w:rPr>
          <w:rFonts w:ascii="Times New Roman" w:hAnsi="Times New Roman" w:cs="Times New Roman"/>
          <w:sz w:val="24"/>
          <w:szCs w:val="24"/>
        </w:rPr>
        <w:softHyphen/>
        <w:t xml:space="preserve">кается проведение сплошных и выборочных рубок лесных насаждений при осуществлении ухода за лесами с сохранением на лесосеках части лесных насаждений, необходимых для обеспечения жизнедеятельности животных. Проведение сплошных </w:t>
      </w:r>
      <w:r w:rsidRPr="003D4946">
        <w:rPr>
          <w:rFonts w:ascii="Times New Roman" w:hAnsi="Times New Roman" w:cs="Times New Roman"/>
          <w:sz w:val="24"/>
          <w:szCs w:val="24"/>
        </w:rPr>
        <w:lastRenderedPageBreak/>
        <w:t>рубок лесных насажде</w:t>
      </w:r>
      <w:r w:rsidRPr="003D4946">
        <w:rPr>
          <w:rFonts w:ascii="Times New Roman" w:hAnsi="Times New Roman" w:cs="Times New Roman"/>
          <w:sz w:val="24"/>
          <w:szCs w:val="24"/>
        </w:rPr>
        <w:softHyphen/>
        <w:t>ний на территории Государственных природных зоологических заказников «Локнянский» и «Новоржевский» запрещено.</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Леса, расположенные на особо охраняемых природных территориях, подлежат охране от пожаров, от загрязнения (в том числе радиоактивными веществами) и от иного негативно</w:t>
      </w:r>
      <w:r w:rsidRPr="003D4946">
        <w:rPr>
          <w:rFonts w:ascii="Times New Roman" w:hAnsi="Times New Roman" w:cs="Times New Roman"/>
          <w:sz w:val="24"/>
          <w:szCs w:val="24"/>
        </w:rPr>
        <w:softHyphen/>
        <w:t>го воздействия, а также защите от вредных организмов в соответствии с лесным законода</w:t>
      </w:r>
      <w:r w:rsidRPr="003D4946">
        <w:rPr>
          <w:rFonts w:ascii="Times New Roman" w:hAnsi="Times New Roman" w:cs="Times New Roman"/>
          <w:sz w:val="24"/>
          <w:szCs w:val="24"/>
        </w:rPr>
        <w:softHyphen/>
        <w:t>тельством Российской Федерации, режимом особой охраны особо охраняемой природной территории.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Единые требования к пожарной безопасности в лесах установлены постановлением Правительства Российской Федерации от 30 июня 2007 г. № 417 «Об утверждении Правил пожарной безопасности в лесах».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Единый порядок и условия организации защиты лесов от вредных организмов, а так</w:t>
      </w:r>
      <w:r w:rsidRPr="003D4946">
        <w:rPr>
          <w:rFonts w:ascii="Times New Roman" w:hAnsi="Times New Roman" w:cs="Times New Roman"/>
          <w:sz w:val="24"/>
          <w:szCs w:val="24"/>
        </w:rPr>
        <w:softHyphen/>
        <w:t>же от негативных воздействий на леса и санитарные требования к использованию лесов установлены постановлением Правительства Российской Федерации от 20 мая 2017 г. № 607 «О правилах санитарной безопасности в лесах».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Очистка лесов, расположенных на особо охраняемых природных территориях, от за</w:t>
      </w:r>
      <w:r w:rsidRPr="003D4946">
        <w:rPr>
          <w:rFonts w:ascii="Times New Roman" w:hAnsi="Times New Roman" w:cs="Times New Roman"/>
          <w:sz w:val="24"/>
          <w:szCs w:val="24"/>
        </w:rPr>
        <w:softHyphen/>
        <w:t>хламления проводится в особо охраняемых, рекреационных функциональных зонах, функ</w:t>
      </w:r>
      <w:r w:rsidRPr="003D4946">
        <w:rPr>
          <w:rFonts w:ascii="Times New Roman" w:hAnsi="Times New Roman" w:cs="Times New Roman"/>
          <w:sz w:val="24"/>
          <w:szCs w:val="24"/>
        </w:rPr>
        <w:softHyphen/>
        <w:t>циональных зонах познавательного туризма обслуживания посетителей, хозяйственного назначения особо охраняемой природной территории, определяемых положением об особо охраняемой природной территории.</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Очистка лесов, расположенных на ООПТ, от захламления в других функциональных зонах особо охраняемой природной территории проводится в случае, если создается угроза возникновения очагов вредных организмов или пожарной безопасности в лесах.</w:t>
      </w:r>
    </w:p>
    <w:p w:rsidR="003D4946" w:rsidRPr="003D4946" w:rsidRDefault="003D4946" w:rsidP="0069007B">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ООПТ, за исключением территорий биосферных полиго</w:t>
      </w:r>
      <w:r w:rsidRPr="003D4946">
        <w:rPr>
          <w:rFonts w:ascii="Times New Roman" w:hAnsi="Times New Roman" w:cs="Times New Roman"/>
          <w:sz w:val="24"/>
          <w:szCs w:val="24"/>
        </w:rPr>
        <w:softHyphen/>
        <w:t>нов, запрещается использование токсичных химических препаратов для охраны и защиты лесов, в том числе в научных целях.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биосферных полигонах государственных природных био</w:t>
      </w:r>
      <w:r w:rsidRPr="003D4946">
        <w:rPr>
          <w:rFonts w:ascii="Times New Roman" w:hAnsi="Times New Roman" w:cs="Times New Roman"/>
          <w:sz w:val="24"/>
          <w:szCs w:val="24"/>
        </w:rPr>
        <w:softHyphen/>
        <w:t>сферных заповедников в соответствии с их назначением, определенном в положении о био</w:t>
      </w:r>
      <w:r w:rsidRPr="003D4946">
        <w:rPr>
          <w:rFonts w:ascii="Times New Roman" w:hAnsi="Times New Roman" w:cs="Times New Roman"/>
          <w:sz w:val="24"/>
          <w:szCs w:val="24"/>
        </w:rPr>
        <w:softHyphen/>
        <w:t>сферном полигоне, могут использоваться токсичные химические препараты для охраны и защиты лесов в целях проведения научных исследований, экологического мониторинга, а также апробирования и внедрения методов рационального природопользования, не разру</w:t>
      </w:r>
      <w:r w:rsidRPr="003D4946">
        <w:rPr>
          <w:rFonts w:ascii="Times New Roman" w:hAnsi="Times New Roman" w:cs="Times New Roman"/>
          <w:sz w:val="24"/>
          <w:szCs w:val="24"/>
        </w:rPr>
        <w:softHyphen/>
        <w:t>шающих окружающую природную среду и не истощающих биологические ресурсы.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Воспроизводство лесов, расположенных на ООПТ, осуществляется путем лесовосста</w:t>
      </w:r>
      <w:r w:rsidRPr="003D4946">
        <w:rPr>
          <w:rFonts w:ascii="Times New Roman" w:hAnsi="Times New Roman" w:cs="Times New Roman"/>
          <w:sz w:val="24"/>
          <w:szCs w:val="24"/>
        </w:rPr>
        <w:softHyphen/>
        <w:t>новления и ухода за лесами в соответствии с лесным законодательством Российской Федера</w:t>
      </w:r>
      <w:r w:rsidRPr="003D4946">
        <w:rPr>
          <w:rFonts w:ascii="Times New Roman" w:hAnsi="Times New Roman" w:cs="Times New Roman"/>
          <w:sz w:val="24"/>
          <w:szCs w:val="24"/>
        </w:rPr>
        <w:softHyphen/>
        <w:t>ции и режимом особой охраны особо охраняемой природной территории.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на ООПТ осуществляется на лесных участках, лесные насажде</w:t>
      </w:r>
      <w:r w:rsidRPr="003D4946">
        <w:rPr>
          <w:rFonts w:ascii="Times New Roman" w:hAnsi="Times New Roman" w:cs="Times New Roman"/>
          <w:sz w:val="24"/>
          <w:szCs w:val="24"/>
        </w:rPr>
        <w:softHyphen/>
        <w:t>ния на которых погибли или повреждены в результате пожаров, воздействия вредных орга</w:t>
      </w:r>
      <w:r w:rsidRPr="003D4946">
        <w:rPr>
          <w:rFonts w:ascii="Times New Roman" w:hAnsi="Times New Roman" w:cs="Times New Roman"/>
          <w:sz w:val="24"/>
          <w:szCs w:val="24"/>
        </w:rPr>
        <w:softHyphen/>
        <w:t>низмов, а также на лесных участках, на которых проводились сплошные рубки.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Лесоразведение осуществляется на участках нелесных земель для предотвращения водной, ветровой и иной эрозии почв, создания защитных насаждений, проведения биотех</w:t>
      </w:r>
      <w:r w:rsidRPr="003D4946">
        <w:rPr>
          <w:rFonts w:ascii="Times New Roman" w:hAnsi="Times New Roman" w:cs="Times New Roman"/>
          <w:sz w:val="24"/>
          <w:szCs w:val="24"/>
        </w:rPr>
        <w:softHyphen/>
        <w:t>нических мероприятий, а также на землях, нарушенных в результате прежней хозяйственной деятельности.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и лесоразведение должны обеспечивать формирование лесных насаждений, близких к естественным по составу видов (пород) деревьев, кустарников, дру</w:t>
      </w:r>
      <w:r w:rsidRPr="003D4946">
        <w:rPr>
          <w:rFonts w:ascii="Times New Roman" w:hAnsi="Times New Roman" w:cs="Times New Roman"/>
          <w:sz w:val="24"/>
          <w:szCs w:val="24"/>
        </w:rPr>
        <w:softHyphen/>
        <w:t>гих лесных растений в соответствующих природно-климатических условиях.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Интродукция (пород) деревьев, кустарников, лиан, других лесных растений, не произ</w:t>
      </w:r>
      <w:r w:rsidRPr="003D4946">
        <w:rPr>
          <w:rFonts w:ascii="Times New Roman" w:hAnsi="Times New Roman" w:cs="Times New Roman"/>
          <w:sz w:val="24"/>
          <w:szCs w:val="24"/>
        </w:rPr>
        <w:softHyphen/>
        <w:t>растающих в данном лесном районе, не допускается.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Лесовосстановление, лесоразведение и уход за лесами на ООПТ осуществляется в со</w:t>
      </w:r>
      <w:r w:rsidRPr="003D4946">
        <w:rPr>
          <w:rFonts w:ascii="Times New Roman" w:hAnsi="Times New Roman" w:cs="Times New Roman"/>
          <w:sz w:val="24"/>
          <w:szCs w:val="24"/>
        </w:rPr>
        <w:softHyphen/>
        <w:t>ответствии с правовым режимом и целевым назначением указанных территорий.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Деятельность лесничества должна быть направлена на сохранение биоразнообразия на его территории в соответствии с распоряжением Правительства РФ от 17.02.2014 № 212-р «Об утверждении Стратегии сохранения редких и находящихся под угрозой </w:t>
      </w:r>
      <w:r w:rsidRPr="003D4946">
        <w:rPr>
          <w:rFonts w:ascii="Times New Roman" w:hAnsi="Times New Roman" w:cs="Times New Roman"/>
          <w:sz w:val="24"/>
          <w:szCs w:val="24"/>
        </w:rPr>
        <w:lastRenderedPageBreak/>
        <w:t>исчезновения видов животных, растений и грибов в Российской Федерации на период до 2030 года». Наибольший эффект для предотвращения гибели редких и находящихся под угрозой исчезновения видов животных, растений и грибов достигается с помощью организации сети ООПТ с разным режимом охраны, соединенных «экологическими коридорами» (экологические сети).</w:t>
      </w:r>
    </w:p>
    <w:p w:rsid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и плотность охотничьих ресурсов обитающих на территории Новоржевского района, по данным государственного мониторинга охотничьих ресурсов и среды их обитания (по состоянию на 01.04.2022) составляет:</w:t>
      </w:r>
    </w:p>
    <w:p w:rsidR="008F1469" w:rsidRPr="003D4946" w:rsidRDefault="008F1469"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b/>
          <w:bCs/>
          <w:sz w:val="24"/>
          <w:szCs w:val="24"/>
        </w:rPr>
        <w:t>Таблица 8 – Перечень охотничьих ресурсов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2"/>
        <w:gridCol w:w="2916"/>
        <w:gridCol w:w="2606"/>
        <w:gridCol w:w="2969"/>
      </w:tblGrid>
      <w:tr w:rsidR="003D4946" w:rsidRPr="003D4946" w:rsidTr="003D4946">
        <w:trPr>
          <w:trHeight w:val="23"/>
          <w:tblHeader/>
          <w:jc w:val="center"/>
        </w:trPr>
        <w:tc>
          <w:tcPr>
            <w:tcW w:w="402"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bidi="ru-RU"/>
              </w:rPr>
              <w:t>№</w:t>
            </w:r>
          </w:p>
          <w:p w:rsidR="003D4946" w:rsidRPr="003D4946" w:rsidRDefault="003D4946" w:rsidP="008F1469">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bidi="ru-RU"/>
              </w:rPr>
              <w:t>п/п</w:t>
            </w:r>
          </w:p>
        </w:tc>
        <w:tc>
          <w:tcPr>
            <w:tcW w:w="1579"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Наименование охотничьего ресурса</w:t>
            </w:r>
          </w:p>
        </w:tc>
        <w:tc>
          <w:tcPr>
            <w:tcW w:w="3019" w:type="pct"/>
            <w:gridSpan w:val="2"/>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Новоржевский район</w:t>
            </w:r>
          </w:p>
        </w:tc>
      </w:tr>
      <w:tr w:rsidR="003D4946" w:rsidRPr="003D4946" w:rsidTr="003D4946">
        <w:trPr>
          <w:trHeight w:val="23"/>
          <w:tblHeader/>
          <w:jc w:val="center"/>
        </w:trPr>
        <w:tc>
          <w:tcPr>
            <w:tcW w:w="402"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rPr>
            </w:pPr>
          </w:p>
        </w:tc>
        <w:tc>
          <w:tcPr>
            <w:tcW w:w="1579"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Численность охотничьих ресурсов, особей</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Плотность охотничьих ресурсов на, особей на 1000 га</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Косуля европейская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605</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3,60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Лось</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1148</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6,83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Кабан</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Медведь Бурый</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49</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0,29</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Волк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0,02</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Лисица обыкновенная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0,13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Собака енотовидная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107</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0,64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Барсук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115</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0,68</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Ласка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Выдра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0,54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Горностай</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Норки</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159</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0,95</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Куница лесная</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51</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0,30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Рысь</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Белка</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360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2,14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Заяц-беляк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770</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4,58</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Заяц-русак</w:t>
            </w:r>
          </w:p>
        </w:tc>
        <w:tc>
          <w:tcPr>
            <w:tcW w:w="141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74</w:t>
            </w:r>
          </w:p>
        </w:tc>
        <w:tc>
          <w:tcPr>
            <w:tcW w:w="160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0,44</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Бобр</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308</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1,83</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Ондатра</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Глухарь обыкновенный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237</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1,41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Куропатка Белая</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Куропатка Серая</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Рябчик</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1078</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6,41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Тетерев обыкновенный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523</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3,11</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Хорь</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16</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0,10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Олень благородный</w:t>
            </w:r>
          </w:p>
        </w:tc>
        <w:tc>
          <w:tcPr>
            <w:tcW w:w="1411"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w:t>
            </w:r>
          </w:p>
        </w:tc>
        <w:tc>
          <w:tcPr>
            <w:tcW w:w="1609"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0,00</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Гусь белолобый</w:t>
            </w:r>
          </w:p>
        </w:tc>
        <w:tc>
          <w:tcPr>
            <w:tcW w:w="1411"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не установлена</w:t>
            </w:r>
          </w:p>
        </w:tc>
        <w:tc>
          <w:tcPr>
            <w:tcW w:w="1609"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не установлена</w:t>
            </w: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Гусь гуменник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усь серый</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Белощекая казарка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Кряква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Чирок- свистунок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Чирок-трескунок</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Широконоска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Свиязь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Серая утка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Шилохвость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39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Хохлатая чернеть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Морская чернеть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41</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Обыкновенный гоголь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42</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Перепел</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43</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Вальдшнеп</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44</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Бекас</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45</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Чибис</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46</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Лысуха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47</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Коростель</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48</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Большой баклан</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49</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Серая ворона</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402"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50</w:t>
            </w:r>
          </w:p>
        </w:tc>
        <w:tc>
          <w:tcPr>
            <w:tcW w:w="1579"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Чайки</w:t>
            </w:r>
          </w:p>
        </w:tc>
        <w:tc>
          <w:tcPr>
            <w:tcW w:w="1411"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609"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Распределение территории лесничества по видам разрешенного использования лесов выполнено с учетом требований нормативных правовых актов, действующих на момент пе</w:t>
      </w:r>
      <w:r w:rsidRPr="003D4946">
        <w:rPr>
          <w:rFonts w:ascii="Times New Roman" w:hAnsi="Times New Roman" w:cs="Times New Roman"/>
          <w:sz w:val="24"/>
          <w:szCs w:val="24"/>
        </w:rPr>
        <w:softHyphen/>
        <w:t>реработки лесохозяйственного регламента.</w:t>
      </w:r>
    </w:p>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b/>
          <w:bCs/>
          <w:sz w:val="24"/>
          <w:szCs w:val="24"/>
        </w:rPr>
      </w:pPr>
      <w:r w:rsidRPr="008F1469">
        <w:rPr>
          <w:rFonts w:ascii="Times New Roman" w:hAnsi="Times New Roman" w:cs="Times New Roman"/>
          <w:b/>
          <w:bCs/>
          <w:sz w:val="24"/>
          <w:szCs w:val="24"/>
          <w:highlight w:val="yellow"/>
        </w:rPr>
        <w:t>Таблица 9 - Виды разрешенного использования лесов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9"/>
        <w:gridCol w:w="2308"/>
        <w:gridCol w:w="2308"/>
        <w:gridCol w:w="2308"/>
      </w:tblGrid>
      <w:tr w:rsidR="003D4946" w:rsidRPr="003D4946" w:rsidTr="003D4946">
        <w:trPr>
          <w:trHeight w:val="23"/>
          <w:tblHeader/>
          <w:jc w:val="center"/>
        </w:trPr>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Вид разрешенного использования лесов</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Наименование</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участкового</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лесничества</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Перечень кварталов или их частей</w:t>
            </w:r>
          </w:p>
        </w:tc>
        <w:tc>
          <w:tcPr>
            <w:tcW w:w="125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Площадь,</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га</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 Заготовка древесины</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лесов, расположенных на ОЗУ. В ООПТ допускается, если не противоречит его Положе</w:t>
            </w:r>
            <w:r w:rsidRPr="003D4946">
              <w:rPr>
                <w:rFonts w:ascii="Times New Roman" w:hAnsi="Times New Roman" w:cs="Times New Roman"/>
                <w:sz w:val="24"/>
                <w:szCs w:val="24"/>
                <w:lang w:bidi="ru-RU"/>
              </w:rPr>
              <w:softHyphen/>
              <w:t>нию. Ограничения по виду использования лесов даны в пунктах 1, 2 примечаний к таблице 1.7.(5)</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17929</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29490</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47419</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 В том числе, заго</w:t>
            </w:r>
            <w:r w:rsidRPr="003D4946">
              <w:rPr>
                <w:rFonts w:ascii="Times New Roman" w:hAnsi="Times New Roman" w:cs="Times New Roman"/>
                <w:b/>
                <w:bCs/>
                <w:sz w:val="24"/>
                <w:szCs w:val="24"/>
                <w:lang w:bidi="ru-RU"/>
              </w:rPr>
              <w:softHyphen/>
              <w:t>товка древесины по до</w:t>
            </w:r>
            <w:r w:rsidRPr="003D4946">
              <w:rPr>
                <w:rFonts w:ascii="Times New Roman" w:hAnsi="Times New Roman" w:cs="Times New Roman"/>
                <w:b/>
                <w:bCs/>
                <w:sz w:val="24"/>
                <w:szCs w:val="24"/>
                <w:lang w:bidi="ru-RU"/>
              </w:rPr>
              <w:softHyphen/>
              <w:t>говорам купли-продажи (примечание 19).</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15-18, 26, 28-30, 43, 45, 235, 263</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1621,0</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22, 25, 49, 60, 114, 146, 147, 155, 156, 178, 192, 193, 208, 211, 212</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2351,0</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3972,0</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2. Заготовка живицы</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в которых раз</w:t>
            </w:r>
            <w:r w:rsidRPr="003D4946">
              <w:rPr>
                <w:rFonts w:ascii="Times New Roman" w:hAnsi="Times New Roman" w:cs="Times New Roman"/>
                <w:sz w:val="24"/>
                <w:szCs w:val="24"/>
                <w:lang w:bidi="ru-RU"/>
              </w:rPr>
              <w:softHyphen/>
              <w:t xml:space="preserve">решается заготовка древесины при проведении рубок спелых и перестойных лесных </w:t>
            </w:r>
            <w:r w:rsidRPr="003D4946">
              <w:rPr>
                <w:rFonts w:ascii="Times New Roman" w:hAnsi="Times New Roman" w:cs="Times New Roman"/>
                <w:sz w:val="24"/>
                <w:szCs w:val="24"/>
                <w:lang w:bidi="ru-RU"/>
              </w:rPr>
              <w:lastRenderedPageBreak/>
              <w:t>насаж</w:t>
            </w:r>
            <w:r w:rsidRPr="003D4946">
              <w:rPr>
                <w:rFonts w:ascii="Times New Roman" w:hAnsi="Times New Roman" w:cs="Times New Roman"/>
                <w:sz w:val="24"/>
                <w:szCs w:val="24"/>
                <w:lang w:bidi="ru-RU"/>
              </w:rPr>
              <w:softHyphen/>
              <w:t>дений. Ограничения по виду использования лесов даны в пунктах 1, 3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 Заготовка и сбор не</w:t>
            </w:r>
            <w:r w:rsidRPr="003D4946">
              <w:rPr>
                <w:rFonts w:ascii="Times New Roman" w:hAnsi="Times New Roman" w:cs="Times New Roman"/>
                <w:b/>
                <w:bCs/>
                <w:sz w:val="24"/>
                <w:szCs w:val="24"/>
                <w:lang w:bidi="ru-RU"/>
              </w:rPr>
              <w:softHyphen/>
              <w:t>древесных лесных ресур</w:t>
            </w:r>
            <w:r w:rsidRPr="003D4946">
              <w:rPr>
                <w:rFonts w:ascii="Times New Roman" w:hAnsi="Times New Roman" w:cs="Times New Roman"/>
                <w:b/>
                <w:bCs/>
                <w:sz w:val="24"/>
                <w:szCs w:val="24"/>
                <w:lang w:bidi="ru-RU"/>
              </w:rPr>
              <w:softHyphen/>
              <w:t>сов</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4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4. Заготовка пищевых лесных ресурсов и сбор лекарственных растений</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5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5. Осуществление видов деятельности в сфере охотничьего хозяйства</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Ограничения по виду исполь</w:t>
            </w:r>
            <w:r w:rsidRPr="003D4946">
              <w:rPr>
                <w:rFonts w:ascii="Times New Roman" w:hAnsi="Times New Roman" w:cs="Times New Roman"/>
                <w:sz w:val="24"/>
                <w:szCs w:val="24"/>
                <w:lang w:bidi="ru-RU"/>
              </w:rPr>
              <w:softHyphen/>
              <w:t>зования лесов даны в пунктах 1, 6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22039</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6. Ведение сельского хо</w:t>
            </w:r>
            <w:r w:rsidRPr="003D4946">
              <w:rPr>
                <w:rFonts w:ascii="Times New Roman" w:hAnsi="Times New Roman" w:cs="Times New Roman"/>
                <w:b/>
                <w:bCs/>
                <w:sz w:val="24"/>
                <w:szCs w:val="24"/>
                <w:lang w:bidi="ru-RU"/>
              </w:rPr>
              <w:softHyphen/>
              <w:t>зяйства</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7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7. Осуществление науч</w:t>
            </w:r>
            <w:r w:rsidRPr="003D4946">
              <w:rPr>
                <w:rFonts w:ascii="Times New Roman" w:hAnsi="Times New Roman" w:cs="Times New Roman"/>
                <w:b/>
                <w:bCs/>
                <w:sz w:val="24"/>
                <w:szCs w:val="24"/>
                <w:lang w:bidi="ru-RU"/>
              </w:rPr>
              <w:softHyphen/>
              <w:t>но-исследовательской</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деятельности, образова</w:t>
            </w:r>
            <w:r w:rsidRPr="003D4946">
              <w:rPr>
                <w:rFonts w:ascii="Times New Roman" w:hAnsi="Times New Roman" w:cs="Times New Roman"/>
                <w:b/>
                <w:bCs/>
                <w:sz w:val="24"/>
                <w:szCs w:val="24"/>
                <w:lang w:bidi="ru-RU"/>
              </w:rPr>
              <w:softHyphen/>
              <w:t>тельной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даны в пунктах 1, 8 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8. Осуществление рекре</w:t>
            </w:r>
            <w:r w:rsidRPr="003D4946">
              <w:rPr>
                <w:rFonts w:ascii="Times New Roman" w:hAnsi="Times New Roman" w:cs="Times New Roman"/>
                <w:b/>
                <w:bCs/>
                <w:sz w:val="24"/>
                <w:szCs w:val="24"/>
                <w:lang w:bidi="ru-RU"/>
              </w:rPr>
              <w:softHyphen/>
              <w:t>ационной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Все кварталы. Ограничения по виду использования лесов даны в пунктах 1, 9 </w:t>
            </w:r>
            <w:r w:rsidRPr="003D4946">
              <w:rPr>
                <w:rFonts w:ascii="Times New Roman" w:hAnsi="Times New Roman" w:cs="Times New Roman"/>
                <w:sz w:val="24"/>
                <w:szCs w:val="24"/>
                <w:lang w:bidi="ru-RU"/>
              </w:rPr>
              <w:lastRenderedPageBreak/>
              <w:t>примеча</w:t>
            </w:r>
            <w:r w:rsidRPr="003D4946">
              <w:rPr>
                <w:rFonts w:ascii="Times New Roman" w:hAnsi="Times New Roman" w:cs="Times New Roman"/>
                <w:sz w:val="24"/>
                <w:szCs w:val="24"/>
                <w:lang w:bidi="ru-RU"/>
              </w:rPr>
              <w:softHyphen/>
              <w:t>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9. Создание лесных плантаций и их эксплуа</w:t>
            </w:r>
            <w:r w:rsidRPr="003D4946">
              <w:rPr>
                <w:rFonts w:ascii="Times New Roman" w:hAnsi="Times New Roman" w:cs="Times New Roman"/>
                <w:b/>
                <w:bCs/>
                <w:sz w:val="24"/>
                <w:szCs w:val="24"/>
                <w:lang w:bidi="ru-RU"/>
              </w:rPr>
              <w:softHyphen/>
              <w:t>тация</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защитных лесах. Ограничения по виду исполь</w:t>
            </w:r>
            <w:r w:rsidRPr="003D4946">
              <w:rPr>
                <w:rFonts w:ascii="Times New Roman" w:hAnsi="Times New Roman" w:cs="Times New Roman"/>
                <w:sz w:val="24"/>
                <w:szCs w:val="24"/>
                <w:lang w:bidi="ru-RU"/>
              </w:rPr>
              <w:softHyphen/>
              <w:t>зования лесов даны в пунктах 1, 10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 Выращивание лес</w:t>
            </w:r>
            <w:r w:rsidRPr="003D4946">
              <w:rPr>
                <w:rFonts w:ascii="Times New Roman" w:hAnsi="Times New Roman" w:cs="Times New Roman"/>
                <w:b/>
                <w:bCs/>
                <w:sz w:val="24"/>
                <w:szCs w:val="24"/>
                <w:lang w:bidi="ru-RU"/>
              </w:rPr>
              <w:softHyphen/>
              <w:t>ных, плодовых, ягодных, декоративных растений, лекарственных растений</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защитных лесах. Ограничения по виду исполь</w:t>
            </w:r>
            <w:r w:rsidRPr="003D4946">
              <w:rPr>
                <w:rFonts w:ascii="Times New Roman" w:hAnsi="Times New Roman" w:cs="Times New Roman"/>
                <w:sz w:val="24"/>
                <w:szCs w:val="24"/>
                <w:lang w:bidi="ru-RU"/>
              </w:rPr>
              <w:softHyphen/>
              <w:t>зования лесов даны в пунктах 1, 11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10.1. Выращивание поса</w:t>
            </w:r>
            <w:r w:rsidRPr="003D4946">
              <w:rPr>
                <w:rFonts w:ascii="Times New Roman" w:hAnsi="Times New Roman" w:cs="Times New Roman"/>
                <w:b/>
                <w:bCs/>
                <w:sz w:val="24"/>
                <w:szCs w:val="24"/>
                <w:lang w:bidi="ru-RU"/>
              </w:rPr>
              <w:softHyphen/>
              <w:t>дочного материала лес</w:t>
            </w:r>
            <w:r w:rsidRPr="003D4946">
              <w:rPr>
                <w:rFonts w:ascii="Times New Roman" w:hAnsi="Times New Roman" w:cs="Times New Roman"/>
                <w:b/>
                <w:bCs/>
                <w:sz w:val="24"/>
                <w:szCs w:val="24"/>
                <w:lang w:bidi="ru-RU"/>
              </w:rPr>
              <w:softHyphen/>
              <w:t>ных растений (саженцев, сеянцев)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Квартал 236. Ограничения по виду использования лесов да</w:t>
            </w:r>
            <w:r w:rsidRPr="003D4946">
              <w:rPr>
                <w:rFonts w:ascii="Times New Roman" w:hAnsi="Times New Roman" w:cs="Times New Roman"/>
                <w:sz w:val="24"/>
                <w:szCs w:val="24"/>
                <w:lang w:bidi="ru-RU"/>
              </w:rPr>
              <w:softHyphen/>
              <w:t>ны в пунктах 1, 12 примеча</w:t>
            </w:r>
            <w:r w:rsidRPr="003D4946">
              <w:rPr>
                <w:rFonts w:ascii="Times New Roman" w:hAnsi="Times New Roman" w:cs="Times New Roman"/>
                <w:sz w:val="24"/>
                <w:szCs w:val="24"/>
                <w:lang w:bidi="ru-RU"/>
              </w:rPr>
              <w:softHyphen/>
              <w:t>ний к таблице 1.7.</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59,72</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bidi="ru-RU"/>
              </w:rPr>
              <w:t>Псковский</w:t>
            </w:r>
            <w:r w:rsidRPr="003D4946">
              <w:rPr>
                <w:rFonts w:ascii="Times New Roman" w:hAnsi="Times New Roman" w:cs="Times New Roman"/>
                <w:sz w:val="24"/>
                <w:szCs w:val="24"/>
                <w:lang w:val="en-US"/>
              </w:rPr>
              <w:t xml:space="preserve"> лесопитомник</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11. Выполнение работ по геологическому изуче</w:t>
            </w:r>
            <w:r w:rsidRPr="003D4946">
              <w:rPr>
                <w:rFonts w:ascii="Times New Roman" w:hAnsi="Times New Roman" w:cs="Times New Roman"/>
                <w:b/>
                <w:bCs/>
                <w:sz w:val="24"/>
                <w:szCs w:val="24"/>
                <w:lang w:bidi="ru-RU"/>
              </w:rPr>
              <w:softHyphen/>
              <w:t>нию недр, разработка ме</w:t>
            </w:r>
            <w:r w:rsidRPr="003D4946">
              <w:rPr>
                <w:rFonts w:ascii="Times New Roman" w:hAnsi="Times New Roman" w:cs="Times New Roman"/>
                <w:b/>
                <w:bCs/>
                <w:sz w:val="24"/>
                <w:szCs w:val="24"/>
                <w:lang w:bidi="ru-RU"/>
              </w:rPr>
              <w:softHyphen/>
              <w:t>сторождений полезных ископаемых</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 Ограниче</w:t>
            </w:r>
            <w:r w:rsidRPr="003D4946">
              <w:rPr>
                <w:rFonts w:ascii="Times New Roman" w:hAnsi="Times New Roman" w:cs="Times New Roman"/>
                <w:sz w:val="24"/>
                <w:szCs w:val="24"/>
                <w:lang w:bidi="ru-RU"/>
              </w:rPr>
              <w:softHyphen/>
              <w:t>ния по виду использования лесов даны в пунктах 1, 13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22039</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12. Строительство и экс</w:t>
            </w:r>
            <w:r w:rsidRPr="003D4946">
              <w:rPr>
                <w:rFonts w:ascii="Times New Roman" w:hAnsi="Times New Roman" w:cs="Times New Roman"/>
                <w:b/>
                <w:bCs/>
                <w:sz w:val="24"/>
                <w:szCs w:val="24"/>
                <w:lang w:bidi="ru-RU"/>
              </w:rPr>
              <w:softHyphen/>
              <w:t>плуатация водохранилищ и иных искусственных водных объектов, а также гидротехнических со</w:t>
            </w:r>
            <w:r w:rsidRPr="003D4946">
              <w:rPr>
                <w:rFonts w:ascii="Times New Roman" w:hAnsi="Times New Roman" w:cs="Times New Roman"/>
                <w:b/>
                <w:bCs/>
                <w:sz w:val="24"/>
                <w:szCs w:val="24"/>
                <w:lang w:bidi="ru-RU"/>
              </w:rPr>
              <w:softHyphen/>
              <w:t>оружений, морских пор</w:t>
            </w:r>
            <w:r w:rsidRPr="003D4946">
              <w:rPr>
                <w:rFonts w:ascii="Times New Roman" w:hAnsi="Times New Roman" w:cs="Times New Roman"/>
                <w:b/>
                <w:bCs/>
                <w:sz w:val="24"/>
                <w:szCs w:val="24"/>
                <w:lang w:bidi="ru-RU"/>
              </w:rPr>
              <w:softHyphen/>
              <w:t xml:space="preserve">тов, морских терминалов, речных </w:t>
            </w:r>
            <w:r w:rsidRPr="003D4946">
              <w:rPr>
                <w:rFonts w:ascii="Times New Roman" w:hAnsi="Times New Roman" w:cs="Times New Roman"/>
                <w:b/>
                <w:bCs/>
                <w:sz w:val="24"/>
                <w:szCs w:val="24"/>
                <w:lang w:bidi="ru-RU"/>
              </w:rPr>
              <w:lastRenderedPageBreak/>
              <w:t>портов, причалов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w:t>
            </w:r>
            <w:r w:rsidRPr="003D4946">
              <w:rPr>
                <w:rFonts w:ascii="Times New Roman" w:hAnsi="Times New Roman" w:cs="Times New Roman"/>
                <w:sz w:val="24"/>
                <w:szCs w:val="24"/>
                <w:lang w:bidi="ru-RU"/>
              </w:rPr>
              <w:softHyphen/>
              <w:t>ложенных в зеленых и ле- сопаркоых зонах, за исключе</w:t>
            </w:r>
            <w:r w:rsidRPr="003D4946">
              <w:rPr>
                <w:rFonts w:ascii="Times New Roman" w:hAnsi="Times New Roman" w:cs="Times New Roman"/>
                <w:sz w:val="24"/>
                <w:szCs w:val="24"/>
                <w:lang w:bidi="ru-RU"/>
              </w:rPr>
              <w:softHyphen/>
              <w:t>нием строительства гидротех</w:t>
            </w:r>
            <w:r w:rsidRPr="003D4946">
              <w:rPr>
                <w:rFonts w:ascii="Times New Roman" w:hAnsi="Times New Roman" w:cs="Times New Roman"/>
                <w:sz w:val="24"/>
                <w:szCs w:val="24"/>
                <w:lang w:bidi="ru-RU"/>
              </w:rPr>
              <w:softHyphen/>
              <w:t>нических сооружений. Ограничения по виду исполь</w:t>
            </w:r>
            <w:r w:rsidRPr="003D4946">
              <w:rPr>
                <w:rFonts w:ascii="Times New Roman" w:hAnsi="Times New Roman" w:cs="Times New Roman"/>
                <w:sz w:val="24"/>
                <w:szCs w:val="24"/>
                <w:lang w:bidi="ru-RU"/>
              </w:rPr>
              <w:softHyphen/>
              <w:t xml:space="preserve">зования лесов даны в пунктах 1, 14 примечаний к </w:t>
            </w:r>
            <w:r w:rsidRPr="003D4946">
              <w:rPr>
                <w:rFonts w:ascii="Times New Roman" w:hAnsi="Times New Roman" w:cs="Times New Roman"/>
                <w:sz w:val="24"/>
                <w:szCs w:val="24"/>
                <w:lang w:bidi="ru-RU"/>
              </w:rPr>
              <w:lastRenderedPageBreak/>
              <w:t>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22039</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31219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lastRenderedPageBreak/>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13.Строительство, рекон</w:t>
            </w:r>
            <w:r w:rsidRPr="003D4946">
              <w:rPr>
                <w:rFonts w:ascii="Times New Roman" w:hAnsi="Times New Roman" w:cs="Times New Roman"/>
                <w:b/>
                <w:bCs/>
                <w:sz w:val="24"/>
                <w:szCs w:val="24"/>
                <w:lang w:bidi="ru-RU"/>
              </w:rPr>
              <w:softHyphen/>
              <w:t>струкция, эксплуатация линейных объектов</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15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14. Переработка древе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bidi="ru-RU"/>
              </w:rPr>
              <w:t>сины и иных лесных ре</w:t>
            </w:r>
            <w:r w:rsidRPr="003D4946">
              <w:rPr>
                <w:rFonts w:ascii="Times New Roman" w:hAnsi="Times New Roman" w:cs="Times New Roman"/>
                <w:b/>
                <w:bCs/>
                <w:sz w:val="24"/>
                <w:szCs w:val="24"/>
                <w:lang w:bidi="ru-RU"/>
              </w:rPr>
              <w:softHyphen/>
              <w:t>сурсов</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Кроме расположенных в защитных лесах. Создание лесоперерабатыва</w:t>
            </w:r>
            <w:r w:rsidRPr="003D4946">
              <w:rPr>
                <w:rFonts w:ascii="Times New Roman" w:hAnsi="Times New Roman" w:cs="Times New Roman"/>
                <w:sz w:val="24"/>
                <w:szCs w:val="24"/>
                <w:lang w:bidi="ru-RU"/>
              </w:rPr>
              <w:softHyphen/>
              <w:t>ющей инфраструктуры за</w:t>
            </w:r>
            <w:r w:rsidRPr="003D4946">
              <w:rPr>
                <w:rFonts w:ascii="Times New Roman" w:hAnsi="Times New Roman" w:cs="Times New Roman"/>
                <w:sz w:val="24"/>
                <w:szCs w:val="24"/>
                <w:lang w:bidi="ru-RU"/>
              </w:rPr>
              <w:softHyphen/>
              <w:t>прещается в защитных лесах. Ограничения по виду исполь</w:t>
            </w:r>
            <w:r w:rsidRPr="003D4946">
              <w:rPr>
                <w:rFonts w:ascii="Times New Roman" w:hAnsi="Times New Roman" w:cs="Times New Roman"/>
                <w:sz w:val="24"/>
                <w:szCs w:val="24"/>
                <w:lang w:bidi="ru-RU"/>
              </w:rPr>
              <w:softHyphen/>
              <w:t>зования лесов даны в пунктах 1, 16 примечаний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8013</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5839</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13852</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15. Осуществление рели</w:t>
            </w:r>
            <w:r w:rsidRPr="003D4946">
              <w:rPr>
                <w:rFonts w:ascii="Times New Roman" w:hAnsi="Times New Roman" w:cs="Times New Roman"/>
                <w:b/>
                <w:bCs/>
                <w:sz w:val="24"/>
                <w:szCs w:val="24"/>
                <w:lang w:bidi="ru-RU"/>
              </w:rPr>
              <w:softHyphen/>
              <w:t>гиозной деятельности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17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b/>
                <w:bCs/>
                <w:sz w:val="24"/>
                <w:szCs w:val="24"/>
                <w:lang w:val="en-US"/>
              </w:rPr>
              <w:t>54655</w:t>
            </w:r>
          </w:p>
        </w:tc>
      </w:tr>
      <w:tr w:rsidR="003D4946" w:rsidRPr="003D4946" w:rsidTr="003D4946">
        <w:trPr>
          <w:trHeight w:val="23"/>
          <w:jc w:val="center"/>
        </w:trPr>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16 .Ииные виды, опреде</w:t>
            </w:r>
            <w:r w:rsidRPr="003D4946">
              <w:rPr>
                <w:rFonts w:ascii="Times New Roman" w:hAnsi="Times New Roman" w:cs="Times New Roman"/>
                <w:b/>
                <w:bCs/>
                <w:sz w:val="24"/>
                <w:szCs w:val="24"/>
                <w:lang w:bidi="ru-RU"/>
              </w:rPr>
              <w:softHyphen/>
              <w:t>ленные в соответствии с ч. 2 ст. 6 Лесного кодекса Российской Федерации.</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1250" w:type="pct"/>
            <w:vMerge w:val="restar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Все кварталы. Ограничения по виду использования лесов даны в пунктах 1, 18 приме</w:t>
            </w:r>
            <w:r w:rsidRPr="003D4946">
              <w:rPr>
                <w:rFonts w:ascii="Times New Roman" w:hAnsi="Times New Roman" w:cs="Times New Roman"/>
                <w:sz w:val="24"/>
                <w:szCs w:val="24"/>
                <w:lang w:bidi="ru-RU"/>
              </w:rPr>
              <w:softHyphen/>
              <w:t>чаний к таблице 1.7.</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23034</w:t>
            </w:r>
          </w:p>
        </w:tc>
      </w:tr>
      <w:tr w:rsidR="003D4946" w:rsidRPr="003D4946" w:rsidTr="003D4946">
        <w:trPr>
          <w:trHeight w:val="23"/>
          <w:jc w:val="center"/>
        </w:trPr>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Новоржевское</w:t>
            </w:r>
          </w:p>
        </w:tc>
        <w:tc>
          <w:tcPr>
            <w:tcW w:w="1250" w:type="pct"/>
            <w:vMerge/>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31621</w:t>
            </w:r>
          </w:p>
        </w:tc>
      </w:tr>
      <w:tr w:rsidR="003D4946" w:rsidRPr="003D4946" w:rsidTr="003D4946">
        <w:trPr>
          <w:trHeight w:val="23"/>
          <w:jc w:val="center"/>
        </w:trPr>
        <w:tc>
          <w:tcPr>
            <w:tcW w:w="3750" w:type="pct"/>
            <w:gridSpan w:val="3"/>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1250" w:type="pct"/>
            <w:tcBorders>
              <w:tl2br w:val="nil"/>
              <w:tr2bl w:val="nil"/>
            </w:tcBorders>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54655</w:t>
            </w:r>
          </w:p>
        </w:tc>
      </w:tr>
    </w:tbl>
    <w:p w:rsidR="003D4946" w:rsidRPr="003D4946" w:rsidRDefault="003D4946" w:rsidP="008F1469">
      <w:pPr>
        <w:spacing w:after="0" w:line="240" w:lineRule="auto"/>
        <w:jc w:val="both"/>
        <w:rPr>
          <w:rFonts w:ascii="Times New Roman" w:hAnsi="Times New Roman" w:cs="Times New Roman"/>
          <w:b/>
          <w:bCs/>
          <w:sz w:val="24"/>
          <w:szCs w:val="24"/>
        </w:rPr>
      </w:pP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Режим всех разрешенных видов использования лесов, расположенных на особо охраняемых природных территориях, определяется Положениями о соответствующих особо охраняемых природ</w:t>
      </w:r>
      <w:r w:rsidRPr="003D4946">
        <w:rPr>
          <w:rFonts w:ascii="Times New Roman" w:hAnsi="Times New Roman" w:cs="Times New Roman"/>
          <w:sz w:val="24"/>
          <w:szCs w:val="24"/>
        </w:rPr>
        <w:softHyphen/>
        <w:t>ных территориях (статья 103 Лесного кодекса РФ).</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лесах, расположенных на территориях зоологических государственных природных заказни</w:t>
      </w:r>
      <w:r w:rsidRPr="003D4946">
        <w:rPr>
          <w:rFonts w:ascii="Times New Roman" w:hAnsi="Times New Roman" w:cs="Times New Roman"/>
          <w:sz w:val="24"/>
          <w:szCs w:val="24"/>
        </w:rPr>
        <w:softHyphen/>
        <w:t>ков, допускается проведение выборочных рубок лесных насаждений с сохранением на лесосеках ча</w:t>
      </w:r>
      <w:r w:rsidRPr="003D4946">
        <w:rPr>
          <w:rFonts w:ascii="Times New Roman" w:hAnsi="Times New Roman" w:cs="Times New Roman"/>
          <w:sz w:val="24"/>
          <w:szCs w:val="24"/>
        </w:rPr>
        <w:softHyphen/>
        <w:t>сти лесных насаждений, необходимых для обеспечения жизнедеятельности животных. Проведение сплошных рубок лесных насаждений на территории Государственных природных зоологических за</w:t>
      </w:r>
      <w:r w:rsidRPr="003D4946">
        <w:rPr>
          <w:rFonts w:ascii="Times New Roman" w:hAnsi="Times New Roman" w:cs="Times New Roman"/>
          <w:sz w:val="24"/>
          <w:szCs w:val="24"/>
        </w:rPr>
        <w:softHyphen/>
        <w:t>казников запрещено.</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Заготовка древесины в лесах допускается в соответствии со статьями 16, 17, 102-108 Лесного кодекса РФ, Правилами заготовки древесины, Правилами ухода за лесами и приказом Рослесхоза от 14.12.2010 № 485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живицы осуществляется в лесах, предназначенных для заготовки древесины, в со</w:t>
      </w:r>
      <w:r w:rsidRPr="003D4946">
        <w:rPr>
          <w:rFonts w:ascii="Times New Roman" w:hAnsi="Times New Roman" w:cs="Times New Roman"/>
          <w:sz w:val="24"/>
          <w:szCs w:val="24"/>
        </w:rPr>
        <w:softHyphen/>
        <w:t>ответствии со статьёй 31 Лесного кодекса РФ и Правилами заготовки живицы. Заготовка живицы не допускается в очагах вредных организмов до их ликвидации; насаждениях, поврежденных и ослаб</w:t>
      </w:r>
      <w:r w:rsidRPr="003D4946">
        <w:rPr>
          <w:rFonts w:ascii="Times New Roman" w:hAnsi="Times New Roman" w:cs="Times New Roman"/>
          <w:sz w:val="24"/>
          <w:szCs w:val="24"/>
        </w:rPr>
        <w:softHyphen/>
        <w:t>ленных вследствие воздействия лесных пожаров, вредных организмов и других негативных факто</w:t>
      </w:r>
      <w:r w:rsidRPr="003D4946">
        <w:rPr>
          <w:rFonts w:ascii="Times New Roman" w:hAnsi="Times New Roman" w:cs="Times New Roman"/>
          <w:sz w:val="24"/>
          <w:szCs w:val="24"/>
        </w:rPr>
        <w:softHyphen/>
        <w:t>ров; лесных насаждениях, где не допускается проведение сплошных или выборочных рубок спелых и перестойных насаждений для заготовки древесины; в постоянных лесосеменных участках, лесосе</w:t>
      </w:r>
      <w:r w:rsidRPr="003D4946">
        <w:rPr>
          <w:rFonts w:ascii="Times New Roman" w:hAnsi="Times New Roman" w:cs="Times New Roman"/>
          <w:sz w:val="24"/>
          <w:szCs w:val="24"/>
        </w:rPr>
        <w:softHyphen/>
        <w:t>менных плантациях, генетических резерватах. Не допускается подсочка плюсовых деревьев, семен</w:t>
      </w:r>
      <w:r w:rsidRPr="003D4946">
        <w:rPr>
          <w:rFonts w:ascii="Times New Roman" w:hAnsi="Times New Roman" w:cs="Times New Roman"/>
          <w:sz w:val="24"/>
          <w:szCs w:val="24"/>
        </w:rPr>
        <w:softHyphen/>
        <w:t>ников, семенных куртин и полос (п. 7 Правил заготовки живицы).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и сбор недревесных лесных ресурсов допускается в лесах в соответствии со стать</w:t>
      </w:r>
      <w:r w:rsidRPr="003D4946">
        <w:rPr>
          <w:rFonts w:ascii="Times New Roman" w:hAnsi="Times New Roman" w:cs="Times New Roman"/>
          <w:sz w:val="24"/>
          <w:szCs w:val="24"/>
        </w:rPr>
        <w:softHyphen/>
        <w:t>ёй 32 Лесного кодекса РФ и Правилами заготовки и сбора недревесных лесных ресурсов.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Заготовка пищевых лесных ресурсов и сбор лекарственных растений допускается в лесах в соответствии со статьёй 35 Лесного кодекса РФ и Правилами заготовки пищевых лесных ресурсов и сбора лекарственных растений.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видов деятельности в сфере охотничьего хозяйства разрешается в лесах в соответствии со статьёй 36 Лесного кодекса РФ, за исключением случаев, предусмотренных статьёй 105 Лесного кодекса РФ и Правилами ухода за лесами и приказом Рослесхоза от 14.12.2010 № 485.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Ведение сельского хозяйства допускается в лесах в соответствии со статьёй 38 Лесного ко</w:t>
      </w:r>
      <w:r w:rsidRPr="003D4946">
        <w:rPr>
          <w:rFonts w:ascii="Times New Roman" w:hAnsi="Times New Roman" w:cs="Times New Roman"/>
          <w:sz w:val="24"/>
          <w:szCs w:val="24"/>
        </w:rPr>
        <w:softHyphen/>
        <w:t>декса РФ и Правилами использования лесов для ведения сельского хозяйства, за исключением случа</w:t>
      </w:r>
      <w:r w:rsidRPr="003D4946">
        <w:rPr>
          <w:rFonts w:ascii="Times New Roman" w:hAnsi="Times New Roman" w:cs="Times New Roman"/>
          <w:sz w:val="24"/>
          <w:szCs w:val="24"/>
        </w:rPr>
        <w:softHyphen/>
        <w:t>ев, предусмотренных статьёй 105 Лесного кодекса РФ и приказом Рослесхоза от 14.12.2010 № 485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научно-исследовательской деятельности, образовательной деятельности до</w:t>
      </w:r>
      <w:r w:rsidRPr="003D4946">
        <w:rPr>
          <w:rFonts w:ascii="Times New Roman" w:hAnsi="Times New Roman" w:cs="Times New Roman"/>
          <w:sz w:val="24"/>
          <w:szCs w:val="24"/>
        </w:rPr>
        <w:softHyphen/>
        <w:t>пускается в лесах в соответствии со статьёй 40 Лесного кодекса РФ и Правилами использования ле</w:t>
      </w:r>
      <w:r w:rsidRPr="003D4946">
        <w:rPr>
          <w:rFonts w:ascii="Times New Roman" w:hAnsi="Times New Roman" w:cs="Times New Roman"/>
          <w:sz w:val="24"/>
          <w:szCs w:val="24"/>
        </w:rPr>
        <w:softHyphen/>
        <w:t>сов для осуществления научно-исследовательской, образовательной деятельности.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рекреационной деятельности допускается в лесах в соответствии со статьёй 41 Лесного кодекса РФ и Правилами использования лесов для осуществления рекреационной дея</w:t>
      </w:r>
      <w:r w:rsidRPr="003D4946">
        <w:rPr>
          <w:rFonts w:ascii="Times New Roman" w:hAnsi="Times New Roman" w:cs="Times New Roman"/>
          <w:sz w:val="24"/>
          <w:szCs w:val="24"/>
        </w:rPr>
        <w:softHyphen/>
        <w:t>тельности.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лесных плантаций допускается в лесах в соответствии со статьёй 42 Лесного ко</w:t>
      </w:r>
      <w:r w:rsidRPr="003D4946">
        <w:rPr>
          <w:rFonts w:ascii="Times New Roman" w:hAnsi="Times New Roman" w:cs="Times New Roman"/>
          <w:sz w:val="24"/>
          <w:szCs w:val="24"/>
        </w:rPr>
        <w:softHyphen/>
        <w:t>декса РФ, за исключением случаев, предусмотренных приказом Рослесхоза от 14.12.2010 № 485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Выращивание лесных плодовых, ягодных, декоративных растений, лекарственных растений допускается в лесах в соответствии со статьёй 39 Лесного кодекса РФ и Правилами использования лесов для выращивания лесных плодовых, ягодных, декоративных растений, лекарственных расте</w:t>
      </w:r>
      <w:r w:rsidRPr="003D4946">
        <w:rPr>
          <w:rFonts w:ascii="Times New Roman" w:hAnsi="Times New Roman" w:cs="Times New Roman"/>
          <w:sz w:val="24"/>
          <w:szCs w:val="24"/>
        </w:rPr>
        <w:softHyphen/>
        <w:t>ний.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Выращивание посадочного материала лесных растений (саженцев, сеянцев) допускается в лесах в соответствии со статьёй 39.1 Лесного кодекса РФ и Правилами использования лесов для вы</w:t>
      </w:r>
      <w:r w:rsidRPr="003D4946">
        <w:rPr>
          <w:rFonts w:ascii="Times New Roman" w:hAnsi="Times New Roman" w:cs="Times New Roman"/>
          <w:sz w:val="24"/>
          <w:szCs w:val="24"/>
        </w:rPr>
        <w:softHyphen/>
        <w:t>ращивания посадочного материала лесных растений (саженцев, сеянцев).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Выполнение работ по геологическому изучению недр, разработке месторождений полезных ископаемых допускается в лесах в соответствии со статьёй 43 Лесного кодекса РФ и Порядком ис</w:t>
      </w:r>
      <w:r w:rsidRPr="003D4946">
        <w:rPr>
          <w:rFonts w:ascii="Times New Roman" w:hAnsi="Times New Roman" w:cs="Times New Roman"/>
          <w:sz w:val="24"/>
          <w:szCs w:val="24"/>
        </w:rPr>
        <w:softHyphen/>
        <w:t>пользования лесов для выполнения работ по геологическому изучению недр, для разработки место</w:t>
      </w:r>
      <w:r w:rsidRPr="003D4946">
        <w:rPr>
          <w:rFonts w:ascii="Times New Roman" w:hAnsi="Times New Roman" w:cs="Times New Roman"/>
          <w:sz w:val="24"/>
          <w:szCs w:val="24"/>
        </w:rPr>
        <w:softHyphen/>
        <w:t>рождений полезных ископаемых, за исключением зеленых зон, лесопарковых зон, где запрещается разработка месторождений полезных ископаемых (статья 105 Лесного кодекса РФ, приказ Рослесхоза от 14.12.2010 № 485).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и эксплуатация водохранилищ и иных искусственных водных объек</w:t>
      </w:r>
      <w:r w:rsidRPr="003D4946">
        <w:rPr>
          <w:rFonts w:ascii="Times New Roman" w:hAnsi="Times New Roman" w:cs="Times New Roman"/>
          <w:sz w:val="24"/>
          <w:szCs w:val="24"/>
        </w:rPr>
        <w:softHyphen/>
        <w:t xml:space="preserve">тов, а также гидротехнических сооружений, морских портов, морских терминалов, речных портов, причалов допускается в лесах в соответствии со статьёй 44 Лесного кодекса РФ. </w:t>
      </w:r>
      <w:r w:rsidRPr="003D4946">
        <w:rPr>
          <w:rFonts w:ascii="Times New Roman" w:hAnsi="Times New Roman" w:cs="Times New Roman"/>
          <w:sz w:val="24"/>
          <w:szCs w:val="24"/>
        </w:rPr>
        <w:lastRenderedPageBreak/>
        <w:t>Этот вид использования лесов не допускается в лесопарковых зонах и зелёных зонах, за исключением строи</w:t>
      </w:r>
      <w:r w:rsidRPr="003D4946">
        <w:rPr>
          <w:rFonts w:ascii="Times New Roman" w:hAnsi="Times New Roman" w:cs="Times New Roman"/>
          <w:sz w:val="24"/>
          <w:szCs w:val="24"/>
        </w:rPr>
        <w:softHyphen/>
        <w:t>тельства гидротехнических сооружений (статья 105 Лесного кодекса РФ).</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реконструкция, эксплуатация линейных объектов допускается в лесах в со</w:t>
      </w:r>
      <w:r w:rsidRPr="003D4946">
        <w:rPr>
          <w:rFonts w:ascii="Times New Roman" w:hAnsi="Times New Roman" w:cs="Times New Roman"/>
          <w:sz w:val="24"/>
          <w:szCs w:val="24"/>
        </w:rPr>
        <w:softHyphen/>
        <w:t>ответствии со статьёй 45 Лесного кодекса РФ и Правилами использования лесов для строительства, реконструкции, эксплуатации линейных объектов, за исключением ограничений, предусмотренных частями 3 и 5 статьи 105 Лесного кодекса РФ.</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Переработка древесины и иных лесных ресурсов допускается в лесах в соответствии со ста</w:t>
      </w:r>
      <w:r w:rsidRPr="003D4946">
        <w:rPr>
          <w:rFonts w:ascii="Times New Roman" w:hAnsi="Times New Roman" w:cs="Times New Roman"/>
          <w:sz w:val="24"/>
          <w:szCs w:val="24"/>
        </w:rPr>
        <w:softHyphen/>
        <w:t>тьёй 46 Лесного кодекса Российской Федерации и Правилами использования лесов для переработки древесины и иных лесных ресурсов, за исключением случаев, предусмотренных статьёй 14 Лесного кодекса РФ и приказом Рослесхоза от 14.12.2010 № 485 (п. 29).</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Осуществление религиозной деятельности допускается в лесах в соответствии со статьёй 47 Лесного кодекса РФ и Федеральным законом от 26.09.1997 № 125-ФЗ «О свободе совести и о религи</w:t>
      </w:r>
      <w:r w:rsidRPr="003D4946">
        <w:rPr>
          <w:rFonts w:ascii="Times New Roman" w:hAnsi="Times New Roman" w:cs="Times New Roman"/>
          <w:sz w:val="24"/>
          <w:szCs w:val="24"/>
        </w:rPr>
        <w:softHyphen/>
        <w:t>озных объединениях».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Виды использования лесов, независимо от их целевого назначения, могут быть ограничены принятыми или принимаемыми нормативно-правовыми актами, разработанными или разрабатывае</w:t>
      </w:r>
      <w:r w:rsidRPr="003D4946">
        <w:rPr>
          <w:rFonts w:ascii="Times New Roman" w:hAnsi="Times New Roman" w:cs="Times New Roman"/>
          <w:sz w:val="24"/>
          <w:szCs w:val="24"/>
        </w:rPr>
        <w:softHyphen/>
        <w:t>мыми положениями об особо охраняемых природных территориях, другими документами, устанав</w:t>
      </w:r>
      <w:r w:rsidRPr="003D4946">
        <w:rPr>
          <w:rFonts w:ascii="Times New Roman" w:hAnsi="Times New Roman" w:cs="Times New Roman"/>
          <w:sz w:val="24"/>
          <w:szCs w:val="24"/>
        </w:rPr>
        <w:softHyphen/>
        <w:t>ливающими режим использования лесов на землях лесного фонда.</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кварталах, перечисленных в пункте 1.1. в таблице разрешается только заготовка древеси</w:t>
      </w:r>
      <w:r w:rsidRPr="003D4946">
        <w:rPr>
          <w:rFonts w:ascii="Times New Roman" w:hAnsi="Times New Roman" w:cs="Times New Roman"/>
          <w:sz w:val="24"/>
          <w:szCs w:val="24"/>
        </w:rPr>
        <w:softHyphen/>
        <w:t>ны местным населением для собственных нужд или субъектами малого и среднего бизнеса по дого</w:t>
      </w:r>
      <w:r w:rsidRPr="003D4946">
        <w:rPr>
          <w:rFonts w:ascii="Times New Roman" w:hAnsi="Times New Roman" w:cs="Times New Roman"/>
          <w:sz w:val="24"/>
          <w:szCs w:val="24"/>
        </w:rPr>
        <w:softHyphen/>
        <w:t>ворам купли-продажи.</w:t>
      </w:r>
    </w:p>
    <w:p w:rsidR="003D4946" w:rsidRPr="003D4946" w:rsidRDefault="003D4946" w:rsidP="008F1469">
      <w:pPr>
        <w:spacing w:after="0" w:line="240" w:lineRule="auto"/>
        <w:jc w:val="both"/>
        <w:rPr>
          <w:rFonts w:ascii="Times New Roman" w:hAnsi="Times New Roman" w:cs="Times New Roman"/>
          <w:b/>
          <w:bCs/>
          <w:i/>
          <w:iCs/>
          <w:sz w:val="24"/>
          <w:szCs w:val="24"/>
          <w:lang w:bidi="ru-RU"/>
        </w:rPr>
      </w:pPr>
      <w:bookmarkStart w:id="37" w:name="bookmark37"/>
      <w:r w:rsidRPr="003D4946">
        <w:rPr>
          <w:rFonts w:ascii="Times New Roman" w:hAnsi="Times New Roman" w:cs="Times New Roman"/>
          <w:b/>
          <w:bCs/>
          <w:i/>
          <w:iCs/>
          <w:sz w:val="24"/>
          <w:szCs w:val="24"/>
          <w:lang w:bidi="ru-RU"/>
        </w:rPr>
        <w:t>Нормативы, параметры и сроки разрешенного использования лесов</w:t>
      </w:r>
      <w:bookmarkEnd w:id="37"/>
      <w:r w:rsidRPr="003D4946">
        <w:rPr>
          <w:rFonts w:ascii="Times New Roman" w:hAnsi="Times New Roman" w:cs="Times New Roman"/>
          <w:b/>
          <w:bCs/>
          <w:i/>
          <w:iCs/>
          <w:sz w:val="24"/>
          <w:szCs w:val="24"/>
          <w:lang w:bidi="ru-RU"/>
        </w:rPr>
        <w:t xml:space="preserve"> Новоржевского района </w:t>
      </w:r>
      <w:bookmarkStart w:id="38" w:name="bookmark38"/>
      <w:r w:rsidRPr="003D4946">
        <w:rPr>
          <w:rFonts w:ascii="Times New Roman" w:hAnsi="Times New Roman" w:cs="Times New Roman"/>
          <w:b/>
          <w:bCs/>
          <w:i/>
          <w:iCs/>
          <w:sz w:val="24"/>
          <w:szCs w:val="24"/>
          <w:lang w:bidi="ru-RU"/>
        </w:rPr>
        <w:t>для заготовки древесины</w:t>
      </w:r>
      <w:bookmarkEnd w:id="38"/>
    </w:p>
    <w:p w:rsidR="003D4946" w:rsidRPr="003D4946" w:rsidRDefault="003D4946" w:rsidP="008F1469">
      <w:pPr>
        <w:spacing w:after="0" w:line="240" w:lineRule="auto"/>
        <w:jc w:val="both"/>
        <w:rPr>
          <w:rFonts w:ascii="Times New Roman" w:hAnsi="Times New Roman" w:cs="Times New Roman"/>
          <w:sz w:val="24"/>
          <w:szCs w:val="24"/>
        </w:rPr>
      </w:pPr>
      <w:bookmarkStart w:id="39" w:name="bookmark40"/>
      <w:r w:rsidRPr="003D4946">
        <w:rPr>
          <w:rFonts w:ascii="Times New Roman" w:hAnsi="Times New Roman" w:cs="Times New Roman"/>
          <w:sz w:val="24"/>
          <w:szCs w:val="24"/>
          <w:lang w:bidi="ru-RU"/>
        </w:rPr>
        <w:t>Одним из основных видов использования лесов является заготовка древесины. Заготовка древесины представляет собой предпринимательскую деятельность, связанную с рубкой лесных насаждений, а также вывозом из леса древесины. Рубками лесных насаждений (деревьев, кустарников) являются процессы их спиливания, срубания и срезания (статья 16 Лесного кодекса Российской Федерации).</w:t>
      </w:r>
      <w:bookmarkEnd w:id="39"/>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Древесные породы, древесина которых имеет большой спрос на внутреннем и внешнем рынках для удовлетворения потребностей общества в продукции, выпускаемой из нее, являются хозяйственно-ценными. (Хозяйственно-ценные: твердолиственные, хвойные, береза бородавчатая в насаждениях не ниже третьего класса бонитета, ольха черная в приручейниковых типах леса).</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Для заготовки древесины допускается осуществление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спелых и перестойных лесных насаждений;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средневозрастных, приспевающих, спелых и перестойных лесных насаждений при вырубке погибших и поврежденных лесных насаждений (санитарные рубки), при уходе за лесами (рубки ухода за лесами);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w:t>
      </w:r>
      <w:r w:rsidRPr="003D4946">
        <w:rPr>
          <w:rFonts w:ascii="Times New Roman" w:hAnsi="Times New Roman" w:cs="Times New Roman"/>
          <w:sz w:val="24"/>
          <w:szCs w:val="24"/>
        </w:rPr>
        <w:t> </w:t>
      </w:r>
      <w:r w:rsidRPr="003D4946">
        <w:rPr>
          <w:rFonts w:ascii="Times New Roman" w:hAnsi="Times New Roman" w:cs="Times New Roman"/>
          <w:sz w:val="24"/>
          <w:szCs w:val="24"/>
          <w:lang w:bidi="ru-RU"/>
        </w:rPr>
        <w:t>лесных насаждений любого возраста на лесных участках, предназначенных для строительства, реконструкции и эксплуатации объектов лесной (просек, лесохозяйственных и противопожарных дорог, складов, противопожарных разрывов и т.п.), лесоперерабатывающей инфраструктуры, а также объектов не связанных с созданием лесной инфраструктуры (для использования линий электропередачи, линий связи, дорог, трубопроводов и других линейных объектов, осуществления рекреационной деятельности и других видов, указанных в ст. 21 Лесного кодекса Российской Федерации) (прочие рубки).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 xml:space="preserve">Заготовка древесины производится в соответствии с приказом Министерства природных ресурсов и экологии Российской федерации от 13 сентября 2016 г. № 474 «Об утверждении Правил заготовки древесины и особенностей заготовки древесины в </w:t>
      </w:r>
      <w:r w:rsidRPr="003D4946">
        <w:rPr>
          <w:rFonts w:ascii="Times New Roman" w:hAnsi="Times New Roman" w:cs="Times New Roman"/>
          <w:sz w:val="24"/>
          <w:szCs w:val="24"/>
          <w:lang w:bidi="ru-RU"/>
        </w:rPr>
        <w:lastRenderedPageBreak/>
        <w:t>лесничествах, лесопарках, указанных в статье 23 Лесного кодекса Российской Федерации» и другими нормативными правовыми актами.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Заготовка древесины осуществляется в пределах расчетной лесосеки лесничества по видам целевого назначения лесов, формам рубок, указанным в пункте 32 Правил заготовки древесины, хозяйствам и преобладающим породам.</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Лица, использующие леса для заготовки древесины на основании договора аренды лесного участка или права постоянного (бессрочного) пользования лесным участком, ис</w:t>
      </w:r>
      <w:r w:rsidRPr="003D4946">
        <w:rPr>
          <w:rFonts w:ascii="Times New Roman" w:hAnsi="Times New Roman" w:cs="Times New Roman"/>
          <w:sz w:val="24"/>
          <w:szCs w:val="24"/>
          <w:lang w:bidi="ru-RU"/>
        </w:rPr>
        <w:softHyphen/>
        <w:t>пользуют дополнительный объем древесины в текущем году за счет недоиспользованного установленного объема изъятия древесины по лесному участку за предыдущие три года при условии полного использования установленного на текущий год объема изъятия древесины по договору аренды или проекту освоения лесов (при предоставлении лесного участка на праве постоянного (бессрочного) пользования).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Недоиспользованный объем древесины определяется как разница между установлен</w:t>
      </w:r>
      <w:r w:rsidRPr="003D4946">
        <w:rPr>
          <w:rFonts w:ascii="Times New Roman" w:hAnsi="Times New Roman" w:cs="Times New Roman"/>
          <w:sz w:val="24"/>
          <w:szCs w:val="24"/>
          <w:lang w:bidi="ru-RU"/>
        </w:rPr>
        <w:softHyphen/>
        <w:t>ным допустимым объемом изъятия древесины по договору аренды лесного участка или по проекту освоения лесов и объемом фактически заготовленной древесины за соответствую</w:t>
      </w:r>
      <w:r w:rsidRPr="003D4946">
        <w:rPr>
          <w:rFonts w:ascii="Times New Roman" w:hAnsi="Times New Roman" w:cs="Times New Roman"/>
          <w:sz w:val="24"/>
          <w:szCs w:val="24"/>
          <w:lang w:bidi="ru-RU"/>
        </w:rPr>
        <w:softHyphen/>
        <w:t>щий год.</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этом суммарный объем заготовки древесины в лесничестве, лесопарке не должен превышать расчетную лесосеку, установленную для соответствующего лесничества, ле</w:t>
      </w:r>
      <w:r w:rsidRPr="003D4946">
        <w:rPr>
          <w:rFonts w:ascii="Times New Roman" w:hAnsi="Times New Roman" w:cs="Times New Roman"/>
          <w:sz w:val="24"/>
          <w:szCs w:val="24"/>
          <w:lang w:bidi="ru-RU"/>
        </w:rPr>
        <w:softHyphen/>
        <w:t>сопарка.</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Объем древесины, заготовленной при ликвидации чрезвычайных ситуаций в лесах возникших вследствии лесных пожаров, и последствий этих чрезвычайных ситуаций, а также при ликвидации очагов вредных организмов в расчетную лесосеку не включается. (Часть 5 статьи 53.7 и часть 3 статьи 60.8 Лесного кодекса РФ)</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Сплошные рубки спелых, перестойных лесных насаждений осуществляются в эксплу</w:t>
      </w:r>
      <w:r w:rsidRPr="003D4946">
        <w:rPr>
          <w:rFonts w:ascii="Times New Roman" w:hAnsi="Times New Roman" w:cs="Times New Roman"/>
          <w:sz w:val="24"/>
          <w:szCs w:val="24"/>
          <w:lang w:bidi="ru-RU"/>
        </w:rPr>
        <w:softHyphen/>
        <w:t>атационных лесах.</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Выборочные рубки спелых и перестойных лесных насаждений допускаются в защит</w:t>
      </w:r>
      <w:r w:rsidRPr="003D4946">
        <w:rPr>
          <w:rFonts w:ascii="Times New Roman" w:hAnsi="Times New Roman" w:cs="Times New Roman"/>
          <w:sz w:val="24"/>
          <w:szCs w:val="24"/>
          <w:lang w:bidi="ru-RU"/>
        </w:rPr>
        <w:softHyphen/>
        <w:t>ных лесах в соответствии с законодательством Российской Федерации.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ухода за лесами, санитарные рубки и прочие рубки осуществляются в защит</w:t>
      </w:r>
      <w:r w:rsidRPr="003D4946">
        <w:rPr>
          <w:rFonts w:ascii="Times New Roman" w:hAnsi="Times New Roman" w:cs="Times New Roman"/>
          <w:sz w:val="24"/>
          <w:szCs w:val="24"/>
          <w:lang w:bidi="ru-RU"/>
        </w:rPr>
        <w:softHyphen/>
        <w:t>ных и эксплуатационных лесах в соответствии с Правилами заготовки древесины и законо</w:t>
      </w:r>
      <w:r w:rsidRPr="003D4946">
        <w:rPr>
          <w:rFonts w:ascii="Times New Roman" w:hAnsi="Times New Roman" w:cs="Times New Roman"/>
          <w:sz w:val="24"/>
          <w:szCs w:val="24"/>
          <w:lang w:bidi="ru-RU"/>
        </w:rPr>
        <w:softHyphen/>
        <w:t>дательством Российской Федерации.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Древесина, заготовленная арендатором, использующим леса в целях заготовки древе</w:t>
      </w:r>
      <w:r w:rsidRPr="003D4946">
        <w:rPr>
          <w:rFonts w:ascii="Times New Roman" w:hAnsi="Times New Roman" w:cs="Times New Roman"/>
          <w:sz w:val="24"/>
          <w:szCs w:val="24"/>
          <w:lang w:bidi="ru-RU"/>
        </w:rPr>
        <w:softHyphen/>
        <w:t>сины, при прочих рубках, включается в счет установленного размера заготовки древесины на арендованном лесном участке.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заготовки древесины используются в первую очередь лесные насаждения, кото</w:t>
      </w:r>
      <w:r w:rsidRPr="003D4946">
        <w:rPr>
          <w:rFonts w:ascii="Times New Roman" w:hAnsi="Times New Roman" w:cs="Times New Roman"/>
          <w:sz w:val="24"/>
          <w:szCs w:val="24"/>
          <w:lang w:bidi="ru-RU"/>
        </w:rPr>
        <w:softHyphen/>
        <w:t>рые требуют рубки по их состоянию (поврежденные пожарами, ветром, снегом, вредными организмами и в результате других негативных воздействий), а также расположенные на лесных участках, имеющих недорубы прошлых лет, лесные насаждения, вышедшие из под</w:t>
      </w:r>
      <w:r w:rsidRPr="003D4946">
        <w:rPr>
          <w:rFonts w:ascii="Times New Roman" w:hAnsi="Times New Roman" w:cs="Times New Roman"/>
          <w:sz w:val="24"/>
          <w:szCs w:val="24"/>
          <w:lang w:bidi="ru-RU"/>
        </w:rPr>
        <w:softHyphen/>
        <w:t>сочки, перестойные лесные насаждения.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целях заготовки древесины проводится отвод части лесного участка, предназначен</w:t>
      </w:r>
      <w:r w:rsidRPr="003D4946">
        <w:rPr>
          <w:rFonts w:ascii="Times New Roman" w:hAnsi="Times New Roman" w:cs="Times New Roman"/>
          <w:sz w:val="24"/>
          <w:szCs w:val="24"/>
          <w:lang w:bidi="ru-RU"/>
        </w:rPr>
        <w:softHyphen/>
        <w:t>ного в рубку (лесосеки), а также таксация лесосеки, при которой определяются качественные характеристики лесных насаждений и объем древесины, подлежащий заготовке.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Отвод и таксация лесосек осуществляются: гражданами и юридическими лицами, осуществляющими заготовку древесины на основании договоров аренды лесных участков; федеральными государственными учреждениями, осуществляющими заготовку древесины на лесных участках, предоставленных им в постоянное (бессрочное) пользование; органами государственной власти, органами местного самоуправления в пределах их полно</w:t>
      </w:r>
      <w:r w:rsidRPr="003D4946">
        <w:rPr>
          <w:rFonts w:ascii="Times New Roman" w:hAnsi="Times New Roman" w:cs="Times New Roman"/>
          <w:sz w:val="24"/>
          <w:szCs w:val="24"/>
          <w:lang w:bidi="ru-RU"/>
        </w:rPr>
        <w:softHyphen/>
        <w:t>мочий, определенных в соответствии со статьями 82 -</w:t>
      </w:r>
      <w:hyperlink r:id="rId11" w:history="1">
        <w:r w:rsidRPr="003D4946">
          <w:rPr>
            <w:rStyle w:val="a9"/>
            <w:rFonts w:ascii="Times New Roman" w:hAnsi="Times New Roman" w:cs="Times New Roman"/>
            <w:sz w:val="24"/>
            <w:szCs w:val="24"/>
            <w:lang w:bidi="ru-RU"/>
          </w:rPr>
          <w:t xml:space="preserve"> 84 Лесного кодекса </w:t>
        </w:r>
      </w:hyperlink>
      <w:r w:rsidRPr="003D4946">
        <w:rPr>
          <w:rFonts w:ascii="Times New Roman" w:hAnsi="Times New Roman" w:cs="Times New Roman"/>
          <w:sz w:val="24"/>
          <w:szCs w:val="24"/>
          <w:lang w:bidi="ru-RU"/>
        </w:rPr>
        <w:t>Российской Феде</w:t>
      </w:r>
      <w:r w:rsidRPr="003D4946">
        <w:rPr>
          <w:rFonts w:ascii="Times New Roman" w:hAnsi="Times New Roman" w:cs="Times New Roman"/>
          <w:sz w:val="24"/>
          <w:szCs w:val="24"/>
          <w:lang w:bidi="ru-RU"/>
        </w:rPr>
        <w:softHyphen/>
        <w:t>рации, для заготовки древесины гражданами и юридическими лицами и субъектами малого и среднего предпринимательства в соответствии с частью 4 статьи</w:t>
      </w:r>
      <w:hyperlink r:id="rId12" w:history="1">
        <w:r w:rsidRPr="003D4946">
          <w:rPr>
            <w:rStyle w:val="a9"/>
            <w:rFonts w:ascii="Times New Roman" w:hAnsi="Times New Roman" w:cs="Times New Roman"/>
            <w:sz w:val="24"/>
            <w:szCs w:val="24"/>
            <w:lang w:bidi="ru-RU"/>
          </w:rPr>
          <w:t xml:space="preserve"> 29.1 Лесного кодек</w:t>
        </w:r>
        <w:r w:rsidRPr="003D4946">
          <w:rPr>
            <w:rStyle w:val="a9"/>
            <w:rFonts w:ascii="Times New Roman" w:hAnsi="Times New Roman" w:cs="Times New Roman"/>
            <w:sz w:val="24"/>
            <w:szCs w:val="24"/>
            <w:lang w:bidi="ru-RU"/>
          </w:rPr>
          <w:softHyphen/>
        </w:r>
      </w:hyperlink>
      <w:hyperlink r:id="rId13" w:history="1">
        <w:r w:rsidRPr="003D4946">
          <w:rPr>
            <w:rStyle w:val="a9"/>
            <w:rFonts w:ascii="Times New Roman" w:hAnsi="Times New Roman" w:cs="Times New Roman"/>
            <w:sz w:val="24"/>
            <w:szCs w:val="24"/>
            <w:lang w:bidi="ru-RU"/>
          </w:rPr>
          <w:t xml:space="preserve">са </w:t>
        </w:r>
      </w:hyperlink>
      <w:r w:rsidRPr="003D4946">
        <w:rPr>
          <w:rFonts w:ascii="Times New Roman" w:hAnsi="Times New Roman" w:cs="Times New Roman"/>
          <w:sz w:val="24"/>
          <w:szCs w:val="24"/>
          <w:lang w:bidi="ru-RU"/>
        </w:rPr>
        <w:t>Российской Федерации на основании договоров купли-продажи лесных насаждений, и производятся в соответствии с пунктами 17-31 Правил заготовки древесины, а также пунк</w:t>
      </w:r>
      <w:r w:rsidRPr="003D4946">
        <w:rPr>
          <w:rFonts w:ascii="Times New Roman" w:hAnsi="Times New Roman" w:cs="Times New Roman"/>
          <w:sz w:val="24"/>
          <w:szCs w:val="24"/>
          <w:lang w:bidi="ru-RU"/>
        </w:rPr>
        <w:softHyphen/>
        <w:t xml:space="preserve">том 14 Правил </w:t>
      </w:r>
      <w:r w:rsidRPr="003D4946">
        <w:rPr>
          <w:rFonts w:ascii="Times New Roman" w:hAnsi="Times New Roman" w:cs="Times New Roman"/>
          <w:sz w:val="24"/>
          <w:szCs w:val="24"/>
          <w:lang w:bidi="ru-RU"/>
        </w:rPr>
        <w:lastRenderedPageBreak/>
        <w:t>лесовосстановления, утвержденных приказом Минприроды России от 29 июня 2016 г. №</w:t>
      </w:r>
      <w:hyperlink r:id="rId14" w:history="1">
        <w:r w:rsidRPr="003D4946">
          <w:rPr>
            <w:rStyle w:val="a9"/>
            <w:rFonts w:ascii="Times New Roman" w:hAnsi="Times New Roman" w:cs="Times New Roman"/>
            <w:sz w:val="24"/>
            <w:szCs w:val="24"/>
            <w:lang w:bidi="ru-RU"/>
          </w:rPr>
          <w:t xml:space="preserve"> 375.</w:t>
        </w:r>
      </w:hyperlink>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Рубки лесных насаждений осуществляются в форме выборочных рубок или сплошных рубок.</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w:t>
      </w:r>
      <w:r w:rsidRPr="003D4946">
        <w:rPr>
          <w:rFonts w:ascii="Times New Roman" w:hAnsi="Times New Roman" w:cs="Times New Roman"/>
          <w:sz w:val="24"/>
          <w:szCs w:val="24"/>
          <w:lang w:bidi="ru-RU"/>
        </w:rPr>
        <w:softHyphen/>
        <w:t>мера, качества и состояния.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К сплошным рубкам относятся рубки, при которых на соответствующих землях или земельных участках вырубаются лесные насаждения с сохранением для воспроизводства ле</w:t>
      </w:r>
      <w:r w:rsidRPr="003D4946">
        <w:rPr>
          <w:rFonts w:ascii="Times New Roman" w:hAnsi="Times New Roman" w:cs="Times New Roman"/>
          <w:sz w:val="24"/>
          <w:szCs w:val="24"/>
          <w:lang w:bidi="ru-RU"/>
        </w:rPr>
        <w:softHyphen/>
        <w:t>сов отдельных деревьев и кустарников или групп деревьев и кустарников.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 Лесовосстановление на таких участках начинается в срок не позднее двух лет с момента окончания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спелых и перестойных лесных насаждений, санитарные рубки и прочие рубки осуществляются в форме выборочных и сплошных рубок.</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Рубки ухода за лесами (осветления, прочистки, прореживания, проходные рубки, руб</w:t>
      </w:r>
      <w:r w:rsidRPr="003D4946">
        <w:rPr>
          <w:rFonts w:ascii="Times New Roman" w:hAnsi="Times New Roman" w:cs="Times New Roman"/>
          <w:sz w:val="24"/>
          <w:szCs w:val="24"/>
          <w:lang w:bidi="ru-RU"/>
        </w:rPr>
        <w:softHyphen/>
        <w:t>ки обновления, рубки переформирования, ландшафтные рубки и иные виды рубок ухода за лесами), направленные на улучшение породного состава и качества древостоев, повышение полезных функций лесов, осуществляются в форме выборочных рубок. Нормативы, условия и особенности рубок ухода за лесами определяются Правилами ухода за лесами, утвержден</w:t>
      </w:r>
      <w:r w:rsidRPr="003D4946">
        <w:rPr>
          <w:rFonts w:ascii="Times New Roman" w:hAnsi="Times New Roman" w:cs="Times New Roman"/>
          <w:sz w:val="24"/>
          <w:szCs w:val="24"/>
          <w:lang w:bidi="ru-RU"/>
        </w:rPr>
        <w:softHyphen/>
        <w:t>ными приказом МПР России от 22 декабря 2017 г. № 626.</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Применение видов рубок при заготовке древесины осуществляется в соответствии с лесохозяйственным регламентом лесничества, а также проектом освоения лесов в отношении лесных участков, переданных в аренду.</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В зависимости от характера вырубаемых деревьев и технологии проведения рубок выделяют следующие виды выборочных рубок спелых и перестойных лесных насаждений: добровольно-выборочные, группово-выборочные, равномерно-постепенные, группово</w:t>
      </w:r>
      <w:r w:rsidRPr="003D4946">
        <w:rPr>
          <w:rFonts w:ascii="Times New Roman" w:hAnsi="Times New Roman" w:cs="Times New Roman"/>
          <w:sz w:val="24"/>
          <w:szCs w:val="24"/>
          <w:lang w:bidi="ru-RU"/>
        </w:rPr>
        <w:softHyphen/>
        <w:t>постепенные (котловинные), чересполосные постепенные, длительно-постепенные рубки.</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добровольно-выборочных рубках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Интенсивность проведения данного вида выборочных рубок спелых и пере</w:t>
      </w:r>
      <w:r w:rsidRPr="003D4946">
        <w:rPr>
          <w:rFonts w:ascii="Times New Roman" w:hAnsi="Times New Roman" w:cs="Times New Roman"/>
          <w:sz w:val="24"/>
          <w:szCs w:val="24"/>
          <w:lang w:bidi="ru-RU"/>
        </w:rPr>
        <w:softHyphen/>
        <w:t>стойных лесных насаждений достигает 40 процентов при снижении полноты древостоя не более чем до 0,6-0,5. Предельная площадь лесосек для данного вида рубок составляет 100 гектаров для эксплуатационных лесов и 50 гектаров для защитных лесов.</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Применение других видов выборочных рубок регламентировано пунктами 37-41 Правил заготовки древесины.</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Параметры и форма лесосек выборочных рубок определяются размерами и конфигу</w:t>
      </w:r>
      <w:r w:rsidRPr="003D4946">
        <w:rPr>
          <w:rFonts w:ascii="Times New Roman" w:hAnsi="Times New Roman" w:cs="Times New Roman"/>
          <w:sz w:val="24"/>
          <w:szCs w:val="24"/>
          <w:lang w:bidi="ru-RU"/>
        </w:rPr>
        <w:softHyphen/>
        <w:t>рацией лесотаксационных выделов с их естественными границами, если при этом не превы</w:t>
      </w:r>
      <w:r w:rsidRPr="003D4946">
        <w:rPr>
          <w:rFonts w:ascii="Times New Roman" w:hAnsi="Times New Roman" w:cs="Times New Roman"/>
          <w:sz w:val="24"/>
          <w:szCs w:val="24"/>
          <w:lang w:bidi="ru-RU"/>
        </w:rPr>
        <w:softHyphen/>
        <w:t>шается предельная площадь лесосеки и не создается опасность ветровала или других отрица</w:t>
      </w:r>
      <w:r w:rsidRPr="003D4946">
        <w:rPr>
          <w:rFonts w:ascii="Times New Roman" w:hAnsi="Times New Roman" w:cs="Times New Roman"/>
          <w:sz w:val="24"/>
          <w:szCs w:val="24"/>
          <w:lang w:bidi="ru-RU"/>
        </w:rPr>
        <w:softHyphen/>
        <w:t>тельных последствий.</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К сплошным рубкам спелых и перестойных лесных насаждений относятся рубки с предварительным лесовосстановлением (появление нового молодого поколения леса под по</w:t>
      </w:r>
      <w:r w:rsidRPr="003D4946">
        <w:rPr>
          <w:rFonts w:ascii="Times New Roman" w:hAnsi="Times New Roman" w:cs="Times New Roman"/>
          <w:sz w:val="24"/>
          <w:szCs w:val="24"/>
          <w:lang w:bidi="ru-RU"/>
        </w:rPr>
        <w:softHyphen/>
        <w:t>логом существующего древостоя) и с последующим лесовосстановлением (образование нового поколения леса после рубки спелого древостоя).</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При проведении сплошных рубок спелых и перестойных лесных насаждений обязательными условиями является: обеспечение лесовосстановления способами, предусмотрен</w:t>
      </w:r>
      <w:r w:rsidRPr="003D4946">
        <w:rPr>
          <w:rFonts w:ascii="Times New Roman" w:hAnsi="Times New Roman" w:cs="Times New Roman"/>
          <w:sz w:val="24"/>
          <w:szCs w:val="24"/>
          <w:lang w:bidi="ru-RU"/>
        </w:rPr>
        <w:softHyphen/>
        <w:t>ными Правилами лесовосстановления, утвержденными приказом Минприроды России от 29 июня 2016 г. № 375</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lastRenderedPageBreak/>
        <w:t>К подлежащему сохранению относится только жизнеспособный перспективный под</w:t>
      </w:r>
      <w:r w:rsidRPr="003D4946">
        <w:rPr>
          <w:rFonts w:ascii="Times New Roman" w:hAnsi="Times New Roman" w:cs="Times New Roman"/>
          <w:sz w:val="24"/>
          <w:szCs w:val="24"/>
          <w:lang w:bidi="ru-RU"/>
        </w:rPr>
        <w:softHyphen/>
        <w:t>рост.</w:t>
      </w:r>
    </w:p>
    <w:p w:rsidR="003D4946" w:rsidRPr="003D4946" w:rsidRDefault="003D4946" w:rsidP="008F1469">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bidi="ru-RU"/>
        </w:rPr>
        <w:t>На заповедных лесных участках запрещается проведение любых рубок лесных насаждений (основание - п.2 ст.107 Лесного Кодекса). На особо защитных участках лесов проведе</w:t>
      </w:r>
      <w:r w:rsidRPr="003D4946">
        <w:rPr>
          <w:rFonts w:ascii="Times New Roman" w:hAnsi="Times New Roman" w:cs="Times New Roman"/>
          <w:sz w:val="24"/>
          <w:szCs w:val="24"/>
          <w:lang w:bidi="ru-RU"/>
        </w:rPr>
        <w:softHyphen/>
        <w:t>ние выборочных рубок допускается только в целях вырубки, погибших и поврежденных лес</w:t>
      </w:r>
      <w:r w:rsidRPr="003D4946">
        <w:rPr>
          <w:rFonts w:ascii="Times New Roman" w:hAnsi="Times New Roman" w:cs="Times New Roman"/>
          <w:sz w:val="24"/>
          <w:szCs w:val="24"/>
          <w:lang w:bidi="ru-RU"/>
        </w:rPr>
        <w:softHyphen/>
        <w:t>ных насаждений (п.3 ст.107 Лесного Кодекса).</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При проведении сплошных рубок спелых, перестойных лесных насаждений с предва</w:t>
      </w:r>
      <w:r w:rsidRPr="003D4946">
        <w:rPr>
          <w:rFonts w:ascii="Times New Roman" w:hAnsi="Times New Roman" w:cs="Times New Roman"/>
          <w:sz w:val="24"/>
          <w:szCs w:val="24"/>
          <w:lang w:bidi="ru-RU"/>
        </w:rPr>
        <w:softHyphen/>
        <w:t>рительным лесовосстановлением должно обеспечиваться сохранение подроста лесных насаждений целевых пород на площадях, не занятых погрузочными пунктами, трассами ма</w:t>
      </w:r>
      <w:r w:rsidRPr="003D4946">
        <w:rPr>
          <w:rFonts w:ascii="Times New Roman" w:hAnsi="Times New Roman" w:cs="Times New Roman"/>
          <w:sz w:val="24"/>
          <w:szCs w:val="24"/>
          <w:lang w:bidi="ru-RU"/>
        </w:rPr>
        <w:softHyphen/>
        <w:t>гистральных и пасечных волоков, дорогами, производственными и бытовыми площадками, в соответствии с Правилами лесовосстановления, утвержденными приказом Минприроды Рос</w:t>
      </w:r>
      <w:r w:rsidRPr="003D4946">
        <w:rPr>
          <w:rFonts w:ascii="Times New Roman" w:hAnsi="Times New Roman" w:cs="Times New Roman"/>
          <w:sz w:val="24"/>
          <w:szCs w:val="24"/>
          <w:lang w:bidi="ru-RU"/>
        </w:rPr>
        <w:softHyphen/>
        <w:t>сии от 29 июня 2016 г. №</w:t>
      </w:r>
      <w:hyperlink r:id="rId15" w:history="1">
        <w:r w:rsidRPr="003D4946">
          <w:rPr>
            <w:rStyle w:val="a9"/>
            <w:rFonts w:ascii="Times New Roman" w:hAnsi="Times New Roman" w:cs="Times New Roman"/>
            <w:sz w:val="24"/>
            <w:szCs w:val="24"/>
            <w:lang w:bidi="ru-RU"/>
          </w:rPr>
          <w:t xml:space="preserve"> 375.</w:t>
        </w:r>
      </w:hyperlink>
    </w:p>
    <w:p w:rsidR="003D4946" w:rsidRPr="003D4946" w:rsidRDefault="003D4946" w:rsidP="008F1469">
      <w:pPr>
        <w:spacing w:after="0" w:line="240" w:lineRule="auto"/>
        <w:jc w:val="both"/>
        <w:rPr>
          <w:rFonts w:ascii="Times New Roman" w:hAnsi="Times New Roman" w:cs="Times New Roman"/>
          <w:sz w:val="24"/>
          <w:szCs w:val="24"/>
          <w:lang w:bidi="ru-RU"/>
        </w:rPr>
      </w:pPr>
      <w:bookmarkStart w:id="40" w:name="bookmark41"/>
      <w:r w:rsidRPr="003D4946">
        <w:rPr>
          <w:rFonts w:ascii="Times New Roman" w:hAnsi="Times New Roman" w:cs="Times New Roman"/>
          <w:sz w:val="24"/>
          <w:szCs w:val="24"/>
          <w:lang w:bidi="ru-RU"/>
        </w:rPr>
        <w:t>При проведении выборочных рубок спелых, перестойных лесных насаждений должно обеспечиваться сохранение подроста лесных насаждений целевых пород на площадях, не за</w:t>
      </w:r>
      <w:r w:rsidRPr="003D4946">
        <w:rPr>
          <w:rFonts w:ascii="Times New Roman" w:hAnsi="Times New Roman" w:cs="Times New Roman"/>
          <w:sz w:val="24"/>
          <w:szCs w:val="24"/>
          <w:lang w:bidi="ru-RU"/>
        </w:rPr>
        <w:softHyphen/>
        <w:t>нятых погрузочными пунктами, трассами магистральных и пасечных волоков, дорогами, производственными и бытовыми площадками, в количестве не менее 70 процентов</w:t>
      </w:r>
      <w:bookmarkEnd w:id="40"/>
      <w:r w:rsidRPr="003D4946">
        <w:rPr>
          <w:rFonts w:ascii="Times New Roman" w:hAnsi="Times New Roman" w:cs="Times New Roman"/>
          <w:sz w:val="24"/>
          <w:szCs w:val="24"/>
          <w:lang w:bidi="ru-RU"/>
        </w:rPr>
        <w:t>.</w:t>
      </w:r>
    </w:p>
    <w:p w:rsidR="003D4946" w:rsidRPr="003D4946" w:rsidRDefault="003D4946" w:rsidP="008F1469">
      <w:pPr>
        <w:spacing w:after="0" w:line="240" w:lineRule="auto"/>
        <w:jc w:val="both"/>
        <w:rPr>
          <w:rFonts w:ascii="Times New Roman" w:hAnsi="Times New Roman" w:cs="Times New Roman"/>
          <w:b/>
          <w:bCs/>
          <w:i/>
          <w:iCs/>
          <w:sz w:val="24"/>
          <w:szCs w:val="24"/>
          <w:lang w:bidi="ru-RU"/>
        </w:rPr>
      </w:pPr>
    </w:p>
    <w:p w:rsidR="003D4946" w:rsidRPr="003D4946" w:rsidRDefault="003D4946" w:rsidP="008F1469">
      <w:pPr>
        <w:spacing w:after="0" w:line="240" w:lineRule="auto"/>
        <w:jc w:val="both"/>
        <w:rPr>
          <w:rFonts w:ascii="Times New Roman" w:hAnsi="Times New Roman" w:cs="Times New Roman"/>
          <w:b/>
          <w:bCs/>
          <w:sz w:val="24"/>
          <w:szCs w:val="24"/>
        </w:rPr>
      </w:pPr>
      <w:r w:rsidRPr="00216875">
        <w:rPr>
          <w:rFonts w:ascii="Times New Roman" w:hAnsi="Times New Roman" w:cs="Times New Roman"/>
          <w:b/>
          <w:bCs/>
          <w:sz w:val="24"/>
          <w:szCs w:val="24"/>
          <w:highlight w:val="yellow"/>
        </w:rPr>
        <w:t>Таблица 10 -</w:t>
      </w:r>
      <w:r w:rsidRPr="003D4946">
        <w:rPr>
          <w:rFonts w:ascii="Times New Roman" w:hAnsi="Times New Roman" w:cs="Times New Roman"/>
          <w:b/>
          <w:bCs/>
          <w:sz w:val="24"/>
          <w:szCs w:val="24"/>
        </w:rPr>
        <w:t xml:space="preserve"> Перечень лесных участков, переданных в аренду, постоянное (бессрочное) пользование, безвозмездное пользование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3"/>
        <w:gridCol w:w="2679"/>
        <w:gridCol w:w="1451"/>
        <w:gridCol w:w="1400"/>
        <w:gridCol w:w="1030"/>
        <w:gridCol w:w="2100"/>
      </w:tblGrid>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п/п</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Лесопользователь, основание на аренду</w:t>
            </w:r>
          </w:p>
        </w:tc>
        <w:tc>
          <w:tcPr>
            <w:tcW w:w="786"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Вид</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пользования</w:t>
            </w: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Участковое</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лесничество</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Арендуе</w:t>
            </w:r>
            <w:r w:rsidRPr="003D4946">
              <w:rPr>
                <w:rFonts w:ascii="Times New Roman" w:hAnsi="Times New Roman" w:cs="Times New Roman"/>
                <w:b/>
                <w:bCs/>
                <w:sz w:val="24"/>
                <w:szCs w:val="24"/>
                <w:lang w:bidi="ru-RU"/>
              </w:rPr>
              <w:softHyphen/>
              <w:t>мая пло</w:t>
            </w:r>
            <w:r w:rsidRPr="003D4946">
              <w:rPr>
                <w:rFonts w:ascii="Times New Roman" w:hAnsi="Times New Roman" w:cs="Times New Roman"/>
                <w:b/>
                <w:bCs/>
                <w:sz w:val="24"/>
                <w:szCs w:val="24"/>
                <w:lang w:bidi="ru-RU"/>
              </w:rPr>
              <w:softHyphen/>
              <w:t>щадь</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Номера кварталов</w:t>
            </w: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1</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ООО «НДГ» № 9-2014 от 24.03.2014 г.</w:t>
            </w:r>
          </w:p>
        </w:tc>
        <w:tc>
          <w:tcPr>
            <w:tcW w:w="786" w:type="pct"/>
            <w:vMerge w:val="restar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Заготовка</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древесины</w:t>
            </w: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1169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246-254,272,273</w:t>
            </w: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2</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ООО «НДГ» № 10-2014 от 24.03.2014 г.</w:t>
            </w:r>
          </w:p>
        </w:tc>
        <w:tc>
          <w:tcPr>
            <w:tcW w:w="786" w:type="pct"/>
            <w:vMerge/>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7146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11-14,19-24,31-37,52-61,76</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82,89,90,95-98,102,201</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205,207,209,210,212</w:t>
            </w:r>
            <w:r w:rsidRPr="003D4946">
              <w:rPr>
                <w:rFonts w:ascii="Times New Roman" w:hAnsi="Times New Roman" w:cs="Times New Roman"/>
                <w:sz w:val="24"/>
                <w:szCs w:val="24"/>
                <w:lang w:bidi="ru-RU"/>
              </w:rPr>
              <w:softHyphen/>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215,223-225,229-234</w:t>
            </w:r>
          </w:p>
        </w:tc>
      </w:tr>
      <w:tr w:rsidR="003D4946" w:rsidRPr="003D4946" w:rsidTr="003D4946">
        <w:trPr>
          <w:trHeight w:val="23"/>
          <w:jc w:val="center"/>
        </w:trPr>
        <w:tc>
          <w:tcPr>
            <w:tcW w:w="3305" w:type="pct"/>
            <w:gridSpan w:val="4"/>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val="en-US"/>
              </w:rPr>
              <w:t>8315</w:t>
            </w:r>
            <w:r w:rsidRPr="003D4946">
              <w:rPr>
                <w:rFonts w:ascii="Times New Roman" w:hAnsi="Times New Roman" w:cs="Times New Roman"/>
                <w:b/>
                <w:bCs/>
                <w:sz w:val="24"/>
                <w:szCs w:val="24"/>
                <w:lang w:bidi="ru-RU"/>
              </w:rPr>
              <w:t xml:space="preserve">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r>
      <w:tr w:rsidR="003D4946" w:rsidRPr="003D4946" w:rsidTr="003D4946">
        <w:trPr>
          <w:trHeight w:val="23"/>
          <w:jc w:val="center"/>
        </w:trPr>
        <w:tc>
          <w:tcPr>
            <w:tcW w:w="310"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3</w:t>
            </w:r>
          </w:p>
        </w:tc>
        <w:tc>
          <w:tcPr>
            <w:tcW w:w="1451"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Псковский лесо</w:t>
            </w:r>
            <w:r w:rsidRPr="003D4946">
              <w:rPr>
                <w:rFonts w:ascii="Times New Roman" w:hAnsi="Times New Roman" w:cs="Times New Roman"/>
                <w:sz w:val="24"/>
                <w:szCs w:val="24"/>
                <w:lang w:bidi="ru-RU"/>
              </w:rPr>
              <w:softHyphen/>
              <w:t>питомник Приказ № 528 от 17.06.2016 г</w:t>
            </w:r>
          </w:p>
        </w:tc>
        <w:tc>
          <w:tcPr>
            <w:tcW w:w="786"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c>
          <w:tcPr>
            <w:tcW w:w="7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Стехновское</w:t>
            </w:r>
          </w:p>
        </w:tc>
        <w:tc>
          <w:tcPr>
            <w:tcW w:w="558"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59,72 га</w:t>
            </w:r>
          </w:p>
        </w:tc>
        <w:tc>
          <w:tcPr>
            <w:tcW w:w="1137" w:type="pct"/>
            <w:tcBorders>
              <w:tl2br w:val="nil"/>
              <w:tr2bl w:val="nil"/>
            </w:tcBorders>
            <w:shd w:val="clear" w:color="auto" w:fill="auto"/>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236 выдел 44, 45</w:t>
            </w: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8F1469">
      <w:pPr>
        <w:spacing w:after="0" w:line="240" w:lineRule="auto"/>
        <w:jc w:val="both"/>
        <w:rPr>
          <w:rFonts w:ascii="Times New Roman" w:hAnsi="Times New Roman" w:cs="Times New Roman"/>
          <w:b/>
          <w:bCs/>
          <w:sz w:val="24"/>
          <w:szCs w:val="24"/>
        </w:rPr>
      </w:pPr>
      <w:bookmarkStart w:id="41" w:name="bookmark335"/>
      <w:bookmarkStart w:id="42" w:name="bookmark337"/>
      <w:bookmarkStart w:id="43" w:name="bookmark336"/>
      <w:r w:rsidRPr="00216875">
        <w:rPr>
          <w:rFonts w:ascii="Times New Roman" w:hAnsi="Times New Roman" w:cs="Times New Roman"/>
          <w:b/>
          <w:bCs/>
          <w:sz w:val="24"/>
          <w:szCs w:val="24"/>
          <w:highlight w:val="yellow"/>
        </w:rPr>
        <w:t>Таблица 11</w:t>
      </w:r>
      <w:r w:rsidRPr="003D4946">
        <w:rPr>
          <w:rFonts w:ascii="Times New Roman" w:hAnsi="Times New Roman" w:cs="Times New Roman"/>
          <w:b/>
          <w:bCs/>
          <w:sz w:val="24"/>
          <w:szCs w:val="24"/>
        </w:rPr>
        <w:t xml:space="preserve"> - Перечень лесных участков с размещенной сетью постоянных пунктов наблюдений (ППН) лесопатологического мониторинга и участков буферной зоны</w:t>
      </w:r>
      <w:bookmarkEnd w:id="41"/>
      <w:bookmarkEnd w:id="42"/>
      <w:bookmarkEnd w:id="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2"/>
        <w:gridCol w:w="1527"/>
        <w:gridCol w:w="1527"/>
        <w:gridCol w:w="1527"/>
        <w:gridCol w:w="1530"/>
        <w:gridCol w:w="1530"/>
      </w:tblGrid>
      <w:tr w:rsidR="003D4946" w:rsidRPr="003D4946" w:rsidTr="003D4946">
        <w:trPr>
          <w:trHeight w:val="23"/>
          <w:tblHeader/>
          <w:jc w:val="center"/>
        </w:trPr>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Участковое лесничество</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Номер</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квартала</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Номер</w:t>
            </w:r>
          </w:p>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выдела</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Площадь, га</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Номер ППН</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Буферная зона</w:t>
            </w:r>
          </w:p>
        </w:tc>
      </w:tr>
      <w:tr w:rsidR="003D4946" w:rsidRPr="003D4946" w:rsidTr="003D4946">
        <w:trPr>
          <w:trHeight w:val="23"/>
          <w:jc w:val="center"/>
        </w:trPr>
        <w:tc>
          <w:tcPr>
            <w:tcW w:w="833" w:type="pct"/>
            <w:vMerge w:val="restar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Стехновское</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99</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21</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833" w:type="pct"/>
            <w:vMerge/>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99(буфер)</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26</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7,0</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833" w:type="pct"/>
            <w:vMerge/>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110</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124</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15</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18,4</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Новоржевское</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100</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67</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10,8</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sz w:val="24"/>
                <w:szCs w:val="24"/>
                <w:lang w:bidi="ru-RU"/>
              </w:rPr>
            </w:pPr>
          </w:p>
        </w:tc>
      </w:tr>
      <w:tr w:rsidR="003D4946" w:rsidRPr="003D4946" w:rsidTr="003D4946">
        <w:trPr>
          <w:trHeight w:val="23"/>
          <w:jc w:val="center"/>
        </w:trPr>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r w:rsidRPr="003D4946">
              <w:rPr>
                <w:rFonts w:ascii="Times New Roman" w:hAnsi="Times New Roman" w:cs="Times New Roman"/>
                <w:b/>
                <w:bCs/>
                <w:sz w:val="24"/>
                <w:szCs w:val="24"/>
                <w:lang w:bidi="ru-RU"/>
              </w:rPr>
              <w:t>Итого</w:t>
            </w: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833"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64</w:t>
            </w: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c>
          <w:tcPr>
            <w:tcW w:w="834" w:type="pct"/>
            <w:shd w:val="clear" w:color="auto" w:fill="FFFFFF"/>
            <w:vAlign w:val="center"/>
          </w:tcPr>
          <w:p w:rsidR="003D4946" w:rsidRPr="003D4946" w:rsidRDefault="003D4946" w:rsidP="008F1469">
            <w:pPr>
              <w:spacing w:after="0" w:line="240" w:lineRule="auto"/>
              <w:jc w:val="both"/>
              <w:rPr>
                <w:rFonts w:ascii="Times New Roman" w:hAnsi="Times New Roman" w:cs="Times New Roman"/>
                <w:b/>
                <w:bCs/>
                <w:sz w:val="24"/>
                <w:szCs w:val="24"/>
                <w:lang w:bidi="ru-RU"/>
              </w:rPr>
            </w:pPr>
          </w:p>
        </w:tc>
      </w:tr>
    </w:tbl>
    <w:p w:rsidR="003D4946" w:rsidRPr="003D4946" w:rsidRDefault="003D4946" w:rsidP="008F1469">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44" w:name="_Toc216434236"/>
      <w:bookmarkEnd w:id="35"/>
      <w:bookmarkEnd w:id="36"/>
      <w:r w:rsidRPr="003D4946">
        <w:rPr>
          <w:rFonts w:ascii="Times New Roman" w:hAnsi="Times New Roman" w:cs="Times New Roman"/>
          <w:b/>
          <w:bCs/>
          <w:sz w:val="24"/>
          <w:szCs w:val="24"/>
        </w:rPr>
        <w:t>3.1.4. Инженерно-строительные условия</w:t>
      </w:r>
      <w:bookmarkEnd w:id="31"/>
      <w:bookmarkEnd w:id="32"/>
      <w:bookmarkEnd w:id="44"/>
    </w:p>
    <w:p w:rsidR="003D4946" w:rsidRPr="003D4946" w:rsidRDefault="003D4946" w:rsidP="008F1469">
      <w:pPr>
        <w:spacing w:after="0" w:line="240" w:lineRule="auto"/>
        <w:jc w:val="both"/>
        <w:rPr>
          <w:rFonts w:ascii="Times New Roman" w:hAnsi="Times New Roman" w:cs="Times New Roman"/>
          <w:sz w:val="24"/>
          <w:szCs w:val="24"/>
        </w:rPr>
      </w:pPr>
      <w:bookmarkStart w:id="45" w:name="_Toc216772313"/>
      <w:bookmarkStart w:id="46" w:name="_Toc167275010"/>
      <w:r w:rsidRPr="003D4946">
        <w:rPr>
          <w:rFonts w:ascii="Times New Roman" w:hAnsi="Times New Roman" w:cs="Times New Roman"/>
          <w:sz w:val="24"/>
          <w:szCs w:val="24"/>
        </w:rPr>
        <w:t>Инженерно-строительное районирование</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Учитывая рельеф, геологическое строение и гидрогеологические условия, выделены районы благоприятные, ограниченно благоприят</w:t>
      </w:r>
      <w:r w:rsidRPr="003D4946">
        <w:rPr>
          <w:rFonts w:ascii="Times New Roman" w:hAnsi="Times New Roman" w:cs="Times New Roman"/>
          <w:sz w:val="24"/>
          <w:szCs w:val="24"/>
          <w:lang w:bidi="ru-RU"/>
        </w:rPr>
        <w:softHyphen/>
        <w:t>ные и неблагоприятные для градостроительного освоения. Результаты данной оценки представлены на рис. Инженерно-строительного районирования.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 xml:space="preserve">Большая часть территории Новоржевского района является ограниченно благоприятной для градостроительного освоения (около 58 %). </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данным территориям относятся: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Участки с холмисто-котловинным рельефом (примерно 40 % территории). Грунты достаточно устойчивые – валунные суглинки, глины, а также супеси. Котловины чаще всего заболочены, на днищах часто залегает маломощный торф. Уклоны поверхности местами составляют 10 % и более. К неблагоприятным природным процессам на данных территориях относятся эрозия, плоскостной смыв, заболачивание понижений, местами дефляция.</w:t>
      </w:r>
    </w:p>
    <w:p w:rsidR="003D4946" w:rsidRPr="003D4946" w:rsidRDefault="003D4946" w:rsidP="008F1469">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Заболоченные волнистые и слабоволнистые равнины (18 % территории), сложенные, суглинками, песками и супесями, местами маломощным торфом. Характерно близкое залегание грунтовых вод. На участках с нарушенным стоком развивается подтопление.</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Строительство на данных территориях должно сопровождаться комплексом инженерных мероприятий, связанных с понижением уровня грунтовых вод, осушения, выторфовывания.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территориям, благоприятным для градостроительного освоения относятся дренированные возвышенные участи холмисто-моренной равнины, с уровнем грунтовых вод более 2 м (около 40 %). Естественным основанием для фундаментов зданий и сооружений служат пески среднезернистые и мелкозернистые, глины, супеси ленточные, суглинки от тугопластичных до полутвёрдых.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Уклоны незначительные, рельеф слаборасчлененный. К неблагоприятным природным процессам на данных территориях относится локальное развитие эрозии, дефляции.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К территориям, неблагоприятным для градостроительного освоения (около 2 %) относятся: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Болота. Кроме процессов заболачивания, осложняющим фактором являются и торфяные пожары.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Речные поймы, сложенные современными аллювиальными отношениями (суглинки, супеси, пески, илы). Поймы большинства рек регулярно подвергаются процессам затопления. Поймы и нижние террасы крупных рек нуждаются в целом комплексе инженерных мероприятий.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случае градостроительного освоения и застройки территории района необходимо проведение дополнительных более детальных инженерных изысканий, а также осуществления специальных мероприятий по вертикальной планировке и инженерной подготовке территории.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Месторождения полезных ископаемых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pайоне выявлены разнообразные полезные ископаемые, связанные с каpбонатными поpодами буpегского гоpизонта и с водно-ледниковыми обpазованиями четвеpтичного пеpиода. Добычу полезных ископаемых ведут кооператив «Дельта» (месторождение глин Оршицкое) и АО «Илкон» (сапропель месторождения оз. Задолжское).</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12 - Месторождения полезных ископаемых, расположенных на территории муниципального образования «Новоржевский район» Псковской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4"/>
        <w:gridCol w:w="1697"/>
        <w:gridCol w:w="2112"/>
        <w:gridCol w:w="1670"/>
        <w:gridCol w:w="1654"/>
        <w:gridCol w:w="940"/>
        <w:gridCol w:w="796"/>
      </w:tblGrid>
      <w:tr w:rsidR="003D4946" w:rsidRPr="003D4946" w:rsidTr="003D4946">
        <w:trPr>
          <w:trHeight w:val="23"/>
          <w:tblHeader/>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 п/п</w:t>
            </w:r>
          </w:p>
        </w:tc>
        <w:tc>
          <w:tcPr>
            <w:tcW w:w="70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Название</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месторождения</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Адрес</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месторождения</w:t>
            </w:r>
          </w:p>
        </w:tc>
        <w:tc>
          <w:tcPr>
            <w:tcW w:w="73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Область</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применения</w:t>
            </w:r>
          </w:p>
        </w:tc>
        <w:tc>
          <w:tcPr>
            <w:tcW w:w="711"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Форма</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собственности/</w:t>
            </w:r>
          </w:p>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владелец</w:t>
            </w:r>
          </w:p>
        </w:tc>
        <w:tc>
          <w:tcPr>
            <w:tcW w:w="1224" w:type="pct"/>
            <w:gridSpan w:val="2"/>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Запасы сырья на 01.01.2022, тыс. м3</w:t>
            </w:r>
          </w:p>
        </w:tc>
      </w:tr>
      <w:tr w:rsidR="003D4946" w:rsidRPr="003D4946" w:rsidTr="003D4946">
        <w:trPr>
          <w:trHeight w:val="23"/>
          <w:tblHeader/>
          <w:jc w:val="center"/>
        </w:trPr>
        <w:tc>
          <w:tcPr>
            <w:tcW w:w="316" w:type="pct"/>
            <w:vMerge/>
            <w:tcBorders>
              <w:tl2br w:val="nil"/>
              <w:tr2bl w:val="nil"/>
            </w:tcBorders>
            <w:shd w:val="clear" w:color="auto" w:fill="auto"/>
            <w:textDirection w:val="btLr"/>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3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11"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A+B+C1</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С2</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Апросово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8,7 км на Ю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в 0,4 км к Ю от д. Апросово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315.0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2</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Слобода</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4,0 км на СВ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к С от д.</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lastRenderedPageBreak/>
              <w:t>Песчивицы</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lastRenderedPageBreak/>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3373.9</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9907.0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lastRenderedPageBreak/>
              <w:t>3</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Лобаново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 С от д. Лобаново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93.0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4</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Шикени</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0,8 км от д. Шикени</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58.0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5</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Грихново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19 км к ЮВ от г.Новоржева.</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ООО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«АвтоДорРес</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урс»</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381.9</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6</w:t>
            </w:r>
          </w:p>
        </w:tc>
        <w:tc>
          <w:tcPr>
            <w:tcW w:w="70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Лаптево</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13 км к ЮВ от г.Новоржева, в 1 км к ЮВ от д. Лаптево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250.1</w:t>
            </w:r>
          </w:p>
        </w:tc>
        <w:tc>
          <w:tcPr>
            <w:tcW w:w="573"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песок</w:t>
            </w:r>
          </w:p>
        </w:tc>
        <w:tc>
          <w:tcPr>
            <w:tcW w:w="711"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70.6</w:t>
            </w:r>
          </w:p>
        </w:tc>
        <w:tc>
          <w:tcPr>
            <w:tcW w:w="573"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7</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Ровное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16 км к ЮЮЗ от г.</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Новоржева, в 0,5 км на ЮВ от д. Ровное</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216.6</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8</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Гридино</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11 км на В от п. Выбор</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458.0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500.0</w:t>
            </w:r>
          </w:p>
        </w:tc>
      </w:tr>
      <w:tr w:rsidR="003D4946" w:rsidRPr="003D4946" w:rsidTr="003D4946">
        <w:trPr>
          <w:trHeight w:val="23"/>
          <w:jc w:val="center"/>
        </w:trPr>
        <w:tc>
          <w:tcPr>
            <w:tcW w:w="316"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9</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Плавно, в т.ч.</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7 км на С от</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ПГМ</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3"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3902.0</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участок в гос. резерве</w:t>
            </w:r>
          </w:p>
        </w:tc>
        <w:tc>
          <w:tcPr>
            <w:tcW w:w="1309"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 Кудеверь, у ЮЗ окраины д. Плавно, между озерами Лобно и Алё</w:t>
            </w:r>
          </w:p>
        </w:tc>
        <w:tc>
          <w:tcPr>
            <w:tcW w:w="735" w:type="pct"/>
            <w:vMerge w:val="restar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песок</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458.0</w:t>
            </w:r>
          </w:p>
        </w:tc>
      </w:tr>
      <w:tr w:rsidR="003D4946" w:rsidRPr="003D4946" w:rsidTr="003D4946">
        <w:trPr>
          <w:trHeight w:val="23"/>
          <w:jc w:val="center"/>
        </w:trPr>
        <w:tc>
          <w:tcPr>
            <w:tcW w:w="316"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участок в гос. Резерве № 2</w:t>
            </w:r>
          </w:p>
        </w:tc>
        <w:tc>
          <w:tcPr>
            <w:tcW w:w="1309"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35" w:type="pct"/>
            <w:vMerge/>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0.0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3444.0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10</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Оршицкое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 югу от дер. Васюгино, к востоку от дер. Коськино</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Тугоплавкие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кирпичные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глины</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(девон.)</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349.0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123.0</w:t>
            </w:r>
          </w:p>
        </w:tc>
      </w:tr>
      <w:tr w:rsidR="003D4946" w:rsidRPr="003D4946" w:rsidTr="003D4946">
        <w:trPr>
          <w:trHeight w:val="23"/>
          <w:jc w:val="center"/>
        </w:trPr>
        <w:tc>
          <w:tcPr>
            <w:tcW w:w="316"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bCs/>
                <w:iCs/>
                <w:sz w:val="24"/>
                <w:szCs w:val="24"/>
              </w:rPr>
            </w:pPr>
            <w:r w:rsidRPr="003D4946">
              <w:rPr>
                <w:rFonts w:ascii="Times New Roman" w:hAnsi="Times New Roman" w:cs="Times New Roman"/>
                <w:b/>
                <w:bCs/>
                <w:iCs/>
                <w:sz w:val="24"/>
                <w:szCs w:val="24"/>
              </w:rPr>
              <w:t>11</w:t>
            </w:r>
          </w:p>
        </w:tc>
        <w:tc>
          <w:tcPr>
            <w:tcW w:w="70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Оршицкое</w:t>
            </w:r>
          </w:p>
        </w:tc>
        <w:tc>
          <w:tcPr>
            <w:tcW w:w="1309"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2 км к В от г. Новоржева</w:t>
            </w:r>
          </w:p>
        </w:tc>
        <w:tc>
          <w:tcPr>
            <w:tcW w:w="735"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Месторождение песков-отощителей</w:t>
            </w:r>
          </w:p>
        </w:tc>
        <w:tc>
          <w:tcPr>
            <w:tcW w:w="71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Не</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распределено</w:t>
            </w:r>
          </w:p>
        </w:tc>
        <w:tc>
          <w:tcPr>
            <w:tcW w:w="651"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74,0</w:t>
            </w:r>
          </w:p>
        </w:tc>
        <w:tc>
          <w:tcPr>
            <w:tcW w:w="570" w:type="pct"/>
            <w:tcBorders>
              <w:tl2br w:val="nil"/>
              <w:tr2bl w:val="nil"/>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w:t>
            </w:r>
          </w:p>
        </w:tc>
      </w:tr>
    </w:tbl>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 песчано-гравийные материалы</w:t>
      </w:r>
    </w:p>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Выводы: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Значительная часть территории Новоржевского района является ограниченно благоприятной для градостроительного освоения – около 58% территории, 40% - благоприятные для градостроительного освоения и около 2% неблагоприятные.</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Минерально-сырьевые ресурсы Новоржевского района представлены песчано-гравийными смесями, песком, кирпично-черепичными глинами торфом и сапропелями. </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47" w:name="_Toc216434237"/>
      <w:bookmarkStart w:id="48" w:name="_Toc216772321"/>
      <w:bookmarkStart w:id="49" w:name="_Toc167275016"/>
      <w:bookmarkEnd w:id="45"/>
      <w:bookmarkEnd w:id="46"/>
      <w:r w:rsidRPr="003D4946">
        <w:rPr>
          <w:rFonts w:ascii="Times New Roman" w:hAnsi="Times New Roman" w:cs="Times New Roman"/>
          <w:b/>
          <w:bCs/>
          <w:sz w:val="24"/>
          <w:szCs w:val="24"/>
        </w:rPr>
        <w:t>3.1.5. Земельные ресурсы</w:t>
      </w:r>
      <w:bookmarkEnd w:id="47"/>
    </w:p>
    <w:p w:rsidR="003D4946" w:rsidRPr="003D4946" w:rsidRDefault="003D4946" w:rsidP="00216875">
      <w:pPr>
        <w:spacing w:after="0" w:line="240" w:lineRule="auto"/>
        <w:jc w:val="both"/>
        <w:rPr>
          <w:rFonts w:ascii="Times New Roman" w:hAnsi="Times New Roman" w:cs="Times New Roman"/>
          <w:sz w:val="24"/>
          <w:szCs w:val="24"/>
          <w:lang w:bidi="ru-RU"/>
        </w:rPr>
      </w:pPr>
      <w:bookmarkStart w:id="50" w:name="_Toc167275006"/>
      <w:bookmarkStart w:id="51" w:name="_Toc216772314"/>
      <w:bookmarkStart w:id="52" w:name="_Toc167275011"/>
      <w:r w:rsidRPr="003D4946">
        <w:rPr>
          <w:rFonts w:ascii="Times New Roman" w:hAnsi="Times New Roman" w:cs="Times New Roman"/>
          <w:sz w:val="24"/>
          <w:szCs w:val="24"/>
          <w:lang w:bidi="ru-RU"/>
        </w:rPr>
        <w:t>Состав и понятие земель приведены в соответствии с Земельным кодексом Российской Федерации от 25.10.2001 № 136-ФЗ.</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Общая площадь района составляет 168201 га.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По площадям категорий земель территория муниципального образования «Новоржевский район» подразделяется на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земли сельскохозяйственного назначения;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населенных пунктов;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 земли особо охраняемых территорий и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лесного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земли водного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земли запаса.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 Земли сельскохозяйственного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сельскохозяйственного назначения занимают 105530 га, что составляет 62,7 %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мелиоративными защитными лесными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6" w:anchor="dst13" w:history="1">
        <w:r w:rsidRPr="003D4946">
          <w:rPr>
            <w:rStyle w:val="a9"/>
            <w:rFonts w:ascii="Times New Roman" w:hAnsi="Times New Roman" w:cs="Times New Roman"/>
            <w:sz w:val="24"/>
            <w:szCs w:val="24"/>
            <w:lang w:bidi="ru-RU"/>
          </w:rPr>
          <w:t>законами</w:t>
        </w:r>
      </w:hyperlink>
      <w:r w:rsidRPr="003D4946">
        <w:rPr>
          <w:rFonts w:ascii="Times New Roman" w:hAnsi="Times New Roman" w:cs="Times New Roman"/>
          <w:sz w:val="24"/>
          <w:szCs w:val="24"/>
          <w:lang w:bidi="ru-RU"/>
        </w:rP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достижения наиболее эффективного потенциала от земель сельскохозяйственного использования требуется комплекс мероприятий по повышению плодородия почв, реконструкция и строительство мелиоративных систем, развитие противоэрозионных лесонасаждений. Изъятие земель сельскохозяйственного назначения происходит в соответствии с установленной законами РФ процедурой перевода земель из одной категории в другую.</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Перевод земель сельскохозяйственного назначения допускается в исключительных случаях, связанных:</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консервацией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созданием особо охраняемых природных территорий или с отнесением земель к землям природоохранного, историко-культурного, рекреационного и иного особо ценного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установлением или изменением черты поселений;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с размещением промышленных объектов на землях, кадастровая стоимость которых не превышает средний уровень кадастровой стоимости по муниципальному району (городскому округу), а также на других землях и с иными несельскохозяйственными нуждами при отсутствии иных вариантов размещения этих объектов.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включением непригодных для осуществления сельскохозяйственного производства земель в состав земель лесного фонда, земель водного фонда или земель запаса;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со строительством дорог, линий электропередач,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с добычей полезных ископаемых при наличии утвержденного проекта рекультивации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 с размещением объектов социального, коммунально-бытового назначения, объектов здравоохранения, образования при отсутствии иных вариантов размещения этих объектов.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2. Земли населенных пунктов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населенных пунктов признаются земли, используемые и предназначенные для застройки и развития населенных пунктов.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Установление, изменение границ населенных пунктов осуществляются в соответствии с </w:t>
      </w:r>
      <w:hyperlink r:id="rId17" w:anchor="dst100089" w:history="1">
        <w:r w:rsidRPr="003D4946">
          <w:rPr>
            <w:rStyle w:val="a9"/>
            <w:rFonts w:ascii="Times New Roman" w:hAnsi="Times New Roman" w:cs="Times New Roman"/>
            <w:sz w:val="24"/>
            <w:szCs w:val="24"/>
            <w:lang w:bidi="ru-RU"/>
          </w:rPr>
          <w:t>законодательством</w:t>
        </w:r>
      </w:hyperlink>
      <w:r w:rsidRPr="003D4946">
        <w:rPr>
          <w:rFonts w:ascii="Times New Roman" w:hAnsi="Times New Roman" w:cs="Times New Roman"/>
          <w:sz w:val="24"/>
          <w:szCs w:val="24"/>
          <w:lang w:bidi="ru-RU"/>
        </w:rPr>
        <w:t> Российской Федерации о градостроительной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 жилым;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 общественно-деловым;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 производственным;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инженерных и транспортных инфраструктур;</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рекреационным;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 сельскохозяйственного использования;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8) военных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9) иным территориальным зонам.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населенных пунктов занимают 5709 га, что составляет 3,4 %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соответствии со </w:t>
      </w:r>
      <w:hyperlink r:id="rId18" w:anchor="dst100053" w:history="1">
        <w:r w:rsidRPr="003D4946">
          <w:rPr>
            <w:rStyle w:val="a9"/>
            <w:rFonts w:ascii="Times New Roman" w:hAnsi="Times New Roman" w:cs="Times New Roman"/>
            <w:sz w:val="24"/>
            <w:szCs w:val="24"/>
            <w:lang w:bidi="ru-RU"/>
          </w:rPr>
          <w:t>статьей 7</w:t>
        </w:r>
      </w:hyperlink>
      <w:r w:rsidRPr="003D4946">
        <w:rPr>
          <w:rFonts w:ascii="Times New Roman" w:hAnsi="Times New Roman" w:cs="Times New Roman"/>
          <w:sz w:val="24"/>
          <w:szCs w:val="24"/>
          <w:lang w:bidi="ru-RU"/>
        </w:rPr>
        <w:t> настоящего Кодекса составляют самостоятельную категорию земель Российской Федерации.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 земли промышленности;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2) земли энергетики;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3) земли транспорта;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земли связи, радиовещания, телевидения, информатики;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земли для обеспечения космической деятельности;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6) земли обороны и безопасности;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7) земли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Особенности правового режима этих земель устанавливаются </w:t>
      </w:r>
      <w:hyperlink r:id="rId19" w:anchor="dst100726" w:history="1">
        <w:r w:rsidRPr="003D4946">
          <w:rPr>
            <w:rStyle w:val="a9"/>
            <w:rFonts w:ascii="Times New Roman" w:hAnsi="Times New Roman" w:cs="Times New Roman"/>
            <w:sz w:val="24"/>
            <w:szCs w:val="24"/>
            <w:lang w:bidi="ru-RU"/>
          </w:rPr>
          <w:t>статьями 88</w:t>
        </w:r>
      </w:hyperlink>
      <w:r w:rsidRPr="003D4946">
        <w:rPr>
          <w:rFonts w:ascii="Times New Roman" w:hAnsi="Times New Roman" w:cs="Times New Roman"/>
          <w:sz w:val="24"/>
          <w:szCs w:val="24"/>
          <w:lang w:bidi="ru-RU"/>
        </w:rPr>
        <w:t> - </w:t>
      </w:r>
      <w:hyperlink r:id="rId20" w:anchor="dst100784" w:history="1">
        <w:r w:rsidRPr="003D4946">
          <w:rPr>
            <w:rStyle w:val="a9"/>
            <w:rFonts w:ascii="Times New Roman" w:hAnsi="Times New Roman" w:cs="Times New Roman"/>
            <w:sz w:val="24"/>
            <w:szCs w:val="24"/>
            <w:lang w:bidi="ru-RU"/>
          </w:rPr>
          <w:t>93</w:t>
        </w:r>
      </w:hyperlink>
      <w:r w:rsidRPr="003D4946">
        <w:rPr>
          <w:rFonts w:ascii="Times New Roman" w:hAnsi="Times New Roman" w:cs="Times New Roman"/>
          <w:sz w:val="24"/>
          <w:szCs w:val="24"/>
          <w:lang w:bidi="ru-RU"/>
        </w:rPr>
        <w:t> Земельного Кодекса и учитываются при проведении зонирования территорий.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21" w:anchor="dst100265" w:history="1">
        <w:r w:rsidRPr="003D4946">
          <w:rPr>
            <w:rStyle w:val="a9"/>
            <w:rFonts w:ascii="Times New Roman" w:hAnsi="Times New Roman" w:cs="Times New Roman"/>
            <w:sz w:val="24"/>
            <w:szCs w:val="24"/>
            <w:lang w:bidi="ru-RU"/>
          </w:rPr>
          <w:t>статьей 71</w:t>
        </w:r>
      </w:hyperlink>
      <w:r w:rsidRPr="003D4946">
        <w:rPr>
          <w:rFonts w:ascii="Times New Roman" w:hAnsi="Times New Roman" w:cs="Times New Roman"/>
          <w:sz w:val="24"/>
          <w:szCs w:val="24"/>
          <w:lang w:bidi="ru-RU"/>
        </w:rPr>
        <w:t> Конституции Российской Федерации, являются федеральной собственностью.</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промышленности и иного специального назначения в соответствии со </w:t>
      </w:r>
      <w:hyperlink r:id="rId22" w:anchor="dst100203" w:history="1">
        <w:r w:rsidRPr="003D4946">
          <w:rPr>
            <w:rStyle w:val="a9"/>
            <w:rFonts w:ascii="Times New Roman" w:hAnsi="Times New Roman" w:cs="Times New Roman"/>
            <w:sz w:val="24"/>
            <w:szCs w:val="24"/>
            <w:lang w:bidi="ru-RU"/>
          </w:rPr>
          <w:t>статьей 24</w:t>
        </w:r>
      </w:hyperlink>
      <w:r w:rsidRPr="003D4946">
        <w:rPr>
          <w:rFonts w:ascii="Times New Roman" w:hAnsi="Times New Roman" w:cs="Times New Roman"/>
          <w:sz w:val="24"/>
          <w:szCs w:val="24"/>
          <w:lang w:bidi="ru-RU"/>
        </w:rPr>
        <w:t> Земельного Кодекса могут предоставляться в безвозмездное пользование для сельскохозяйственного производства и иного использования.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обороны, безопасности и земли иного специального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Режим использования территории регламентируется ограничениями, накладываемыми деятельностью военных объектов на проведение застройки и использование прилегающих к ним территорий. В соответствии с п. 7, ст. 93 Земельного кодекса РФ, в целях обеспечения безопасности хранения вооружения и военной техники, другого военного имущества, защиты населения и объектов производственного, социально-бытового и иного назначения, а также охраны окружающей среды при возникновении чрезвычайных ситуаций техногенного и природного характера на прилегающих к арсеналам, базам и складам Вооруженных Сил Российской Федерации, других войск, воинских формирований и органов земельных участках могут устанавливаться запретные зоны (в ред. Федеральных законов от 30.06.2003 г. № 86-ФЗ, от 07.03.2005 г. № 15-ФЗ).</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СНиП 2.07.01-89* определяет требования к согласованию размещения объектов в районах аэродромов и на других территориях с учетом обеспечения безопасности полетов воздушных судов.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иного специального назначения занимают 687 га, что составляет 0,4 %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 Земли особо охраняемых территорий и объектов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особо охраняемых территорий относятся земли: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1) особо охраняемых природных территорий;</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2) природоохранного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3) рекреационного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4) историко-культурного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5) особо ценные земли.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особо охраняемых территорий и объектов занимают 24 га, что составляет 0,01 %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hyperlink r:id="rId23" w:history="1">
        <w:r w:rsidRPr="003D4946">
          <w:rPr>
            <w:rStyle w:val="a9"/>
            <w:rFonts w:ascii="Times New Roman" w:hAnsi="Times New Roman" w:cs="Times New Roman"/>
            <w:sz w:val="24"/>
            <w:szCs w:val="24"/>
            <w:lang w:bidi="ru-RU"/>
          </w:rPr>
          <w:t>Кодексом</w:t>
        </w:r>
      </w:hyperlink>
      <w:r w:rsidRPr="003D4946">
        <w:rPr>
          <w:rFonts w:ascii="Times New Roman" w:hAnsi="Times New Roman" w:cs="Times New Roman"/>
          <w:sz w:val="24"/>
          <w:szCs w:val="24"/>
          <w:lang w:bidi="ru-RU"/>
        </w:rPr>
        <w:t>, федеральными законами.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Особо охраняемые природные территории играют важную роль в сохранении и защите естественных природных ландшафтов, выполняя средозащитные и средовосстанавливающие функции экосистемы.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На территории Новоржевского района расположено 3 особо охраняемых природных территории.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Государственный природный зоологический заказник регионального значения «Новоржевский», общей площадью 12500 га. Заказник утверждён постановлением Администрации Псковской области от 05.01.1996 №4 и постановлением Администрации псковской области от 27.06.2005 № 266. Заказник расположен в западной части района, к северо-западу от г. Новоржев.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 Природный комплекс местного значения «Озеро Рахново», площадью 58,8 га. Утверждён постановлением Администрации Новоржевского района № 17 от 14.07.2008.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Природный комплекс местного значения «Погост Лобно», площадью 1500 га. Утверждён постановлением Администрации Новоржевского района № 16 от 14.07.2008.</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 Земли лесного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лесного фонда относятся лесные земли и нелесные земли, состав которых устанавливается лесным законодательством.</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использования и охраны земель лесного фонда устанавливается настоящим Земельным Кодексом и лесным </w:t>
      </w:r>
      <w:hyperlink r:id="rId24" w:anchor="dst834" w:history="1">
        <w:r w:rsidRPr="003D4946">
          <w:rPr>
            <w:rStyle w:val="a9"/>
            <w:rFonts w:ascii="Times New Roman" w:hAnsi="Times New Roman" w:cs="Times New Roman"/>
            <w:sz w:val="24"/>
            <w:szCs w:val="24"/>
            <w:lang w:bidi="ru-RU"/>
          </w:rPr>
          <w:t>законодательством</w:t>
        </w:r>
      </w:hyperlink>
      <w:r w:rsidRPr="003D4946">
        <w:rPr>
          <w:rFonts w:ascii="Times New Roman" w:hAnsi="Times New Roman" w:cs="Times New Roman"/>
          <w:sz w:val="24"/>
          <w:szCs w:val="24"/>
          <w:lang w:bidi="ru-RU"/>
        </w:rPr>
        <w:t>.</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защитным лесам относятся леса, основным назначением которых является выполнение водоохранных, защитных, санитарно-гигиенических, оздоровительных, иных функций, а также леса особо охраняемых природных территорий. Порядок ведения лесного хозяйства в защитных лесах определяется в зависимости от их категории защитности. На особо защитных участках лесов запрещено применение рубок главного пользования. Решения о запрещении рубок главного пользования на этих участках принимаются территориальными органами федерального органа исполнительной власти в области лесного хозяйства.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Использование территории регламентируется Лесным кодексом Российской Федерации от 4 декабря 2006 года N 200-ФЗ (ред. от 26.12.2024 г.), другими федеральными законами и соответствующими законами субъектов РФ.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6. Земли водного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Землями водного фонда являются земли, на которых находятся поверхностные водные объекты.</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В целях строительства водохранилищ и иных искусственных водных объектов осуществляется резервирование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Порядок использования и охраны земель водного фонда определяется Земельным Кодексом и Водным кодексом Российской Федерации от 03.06.2006 N 74-ФЗ (ред. 31.07.2025)</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водного фонда занимают 659 га, что составляет 0,4 %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 Земли запаса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r:id="rId25" w:anchor="dst100637" w:history="1">
        <w:r w:rsidRPr="003D4946">
          <w:rPr>
            <w:rStyle w:val="a9"/>
            <w:rFonts w:ascii="Times New Roman" w:hAnsi="Times New Roman" w:cs="Times New Roman"/>
            <w:sz w:val="24"/>
            <w:szCs w:val="24"/>
            <w:lang w:bidi="ru-RU"/>
          </w:rPr>
          <w:t>статьей 80</w:t>
        </w:r>
      </w:hyperlink>
      <w:r w:rsidRPr="003D4946">
        <w:rPr>
          <w:rFonts w:ascii="Times New Roman" w:hAnsi="Times New Roman" w:cs="Times New Roman"/>
          <w:sz w:val="24"/>
          <w:szCs w:val="24"/>
          <w:lang w:bidi="ru-RU"/>
        </w:rPr>
        <w:t> Земельного Кодекса.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Использование земель запаса допускается после </w:t>
      </w:r>
      <w:hyperlink r:id="rId26" w:anchor="dst100094" w:history="1">
        <w:r w:rsidRPr="003D4946">
          <w:rPr>
            <w:rStyle w:val="a9"/>
            <w:rFonts w:ascii="Times New Roman" w:hAnsi="Times New Roman" w:cs="Times New Roman"/>
            <w:sz w:val="24"/>
            <w:szCs w:val="24"/>
            <w:lang w:bidi="ru-RU"/>
          </w:rPr>
          <w:t>перевода</w:t>
        </w:r>
      </w:hyperlink>
      <w:r w:rsidRPr="003D4946">
        <w:rPr>
          <w:rFonts w:ascii="Times New Roman" w:hAnsi="Times New Roman" w:cs="Times New Roman"/>
          <w:sz w:val="24"/>
          <w:szCs w:val="24"/>
          <w:lang w:bidi="ru-RU"/>
        </w:rPr>
        <w:t>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рассматриваемой территории земли запаса занимают 1455 га, что составляет 0,9 % от всего земельного фонда муниципального образования.</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Регулирование земельных отношений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Земли, занятые территориями и объектами историко-культурного назначения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Земельные участки в границах территорий объектов культурного наследия,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(памятников истории и культуры) народов Российской Федерации, расположенные как правило, на землях сельскохозяйственного назначения и землях лесного фонда.</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«Об объектах культурного наследия (памятниках истории и культуры) народов Российской Федерации».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На территории археологических памятников запрещаются все виды хозяйственной деятельности, связанные с земляными работами, за исключением работ направленных на сохранение объектов археологического наследия. Основными видами работ по сохранению археологического наследия являются спасательные археологические полевые работы (раскопки и разведки). Работы по выявлению и изучению объектов археологического наследия (далее - археологические полевые работы) проводятся на основании выдаваемого сроком не более чем на один год, в порядке устанавливаемом уполномоченным Правительством Российской Федерации федеральным органом исполнительной власти, разрешения (открытого листа) на право проведения работ определенного вида на объекте археологического наследия.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Любые земляные работы на земельных участках, в пределах которых располагаются объекты археологического наследия (памятники археологии) могут производиться только при наличии в проектной документации раздела по обеспечению сохранности объекта культурного наследия и согласования проектной документации с органом исполнительной власти, уполномоченным в области охраны объектов культурного наследия Псковской области.</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lastRenderedPageBreak/>
        <w:t xml:space="preserve">В соответствии со ст.34 Федерального закона №73-ФЗ от 25.06.2002 г.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 </w:t>
      </w:r>
    </w:p>
    <w:bookmarkEnd w:id="50"/>
    <w:bookmarkEnd w:id="51"/>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Перераспределение земель</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Освоение территории под новое жилищное строительство и резервирование, выделение земель для развития населенных пунктов, новых промышленных площадок, строительство объектов транспортной и инженерной инфраструктур, а также оптимизация системы управления территорией, потребуют перевода земель в категорию земель населенных пунктов. </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Проектом не предусматривается изменение границ населенных пунктов. города Новоржева.</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53" w:name="_Toc216434238"/>
      <w:bookmarkStart w:id="54" w:name="_Toc167275017"/>
      <w:bookmarkStart w:id="55" w:name="_Toc216772322"/>
      <w:bookmarkEnd w:id="48"/>
      <w:bookmarkEnd w:id="49"/>
      <w:bookmarkEnd w:id="52"/>
      <w:r w:rsidRPr="003D4946">
        <w:rPr>
          <w:rFonts w:ascii="Times New Roman" w:hAnsi="Times New Roman" w:cs="Times New Roman"/>
          <w:b/>
          <w:bCs/>
          <w:i/>
          <w:sz w:val="24"/>
          <w:szCs w:val="24"/>
        </w:rPr>
        <w:t>3.2. Планировочная организация территории района</w:t>
      </w:r>
      <w:bookmarkEnd w:id="53"/>
    </w:p>
    <w:p w:rsidR="003D4946" w:rsidRPr="003D4946" w:rsidRDefault="003D4946" w:rsidP="00216875">
      <w:pPr>
        <w:spacing w:after="0" w:line="240" w:lineRule="auto"/>
        <w:jc w:val="both"/>
        <w:rPr>
          <w:rFonts w:ascii="Times New Roman" w:hAnsi="Times New Roman" w:cs="Times New Roman"/>
          <w:b/>
          <w:bCs/>
          <w:i/>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bookmarkStart w:id="56" w:name="_Toc216434239"/>
      <w:r w:rsidRPr="003D4946">
        <w:rPr>
          <w:rFonts w:ascii="Times New Roman" w:hAnsi="Times New Roman" w:cs="Times New Roman"/>
          <w:b/>
          <w:bCs/>
          <w:sz w:val="24"/>
          <w:szCs w:val="24"/>
        </w:rPr>
        <w:t>3.2.1. Обоснование вариантов решения задач территориального планирования</w:t>
      </w:r>
      <w:bookmarkEnd w:id="56"/>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Для сложившейся территориальной ситуации Новоржевского района характерна неравномерность его хозяйственного освоения. Центральная часть района освоена в значительно большей степени, чем северная и южная, так как здесь проходят основные широтные транспортные коммуникации. Центр района город Новоржев также находится в центральной части района. Сложившаяся неравномерность освоения территории может быть, в известной степени, откорректирована путем расселения более компактного характера населения мелких населенных пунктов (численностью менее 50 человек) в административные центры волостей, тяготеющих преимущественно к дорогам регионального значения.</w:t>
      </w:r>
    </w:p>
    <w:p w:rsidR="003D4946" w:rsidRPr="003D4946" w:rsidRDefault="003D4946" w:rsidP="00216875">
      <w:pPr>
        <w:spacing w:after="0" w:line="240" w:lineRule="auto"/>
        <w:jc w:val="both"/>
        <w:rPr>
          <w:rFonts w:ascii="Times New Roman" w:hAnsi="Times New Roman" w:cs="Times New Roman"/>
          <w:sz w:val="24"/>
          <w:szCs w:val="24"/>
          <w:lang w:bidi="ru-RU"/>
        </w:rPr>
      </w:pPr>
      <w:r w:rsidRPr="003D4946">
        <w:rPr>
          <w:rFonts w:ascii="Times New Roman" w:hAnsi="Times New Roman" w:cs="Times New Roman"/>
          <w:sz w:val="24"/>
          <w:szCs w:val="24"/>
          <w:lang w:bidi="ru-RU"/>
        </w:rPr>
        <w:t xml:space="preserve">В Схеме территориального планирования признано целесообразным, в наибольшей степени, ориентировать сельское хозяйство на молочно-мясное и картофеле-зерно-льноводческое производство, что не потребует дорогостоящих мероприятий по восстановлению заброшенных, ныне залесенных сельскохозяйственных угодий. Функциональное зонирование территории района проведено с учетом оценки производственно-экономической и социальной ситуации, сложившейся в районе. Ввиду ранее сложившейся сельскохозяйственной специализации территории эти отрасли имеет важное значения при выделении функциональных зон. </w:t>
      </w:r>
    </w:p>
    <w:p w:rsidR="003D4946" w:rsidRPr="003D4946" w:rsidRDefault="003D4946" w:rsidP="00216875">
      <w:pPr>
        <w:spacing w:after="0" w:line="240" w:lineRule="auto"/>
        <w:jc w:val="both"/>
        <w:rPr>
          <w:rFonts w:ascii="Times New Roman" w:hAnsi="Times New Roman" w:cs="Times New Roman"/>
          <w:sz w:val="24"/>
          <w:szCs w:val="24"/>
          <w:lang w:bidi="ru-RU"/>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57" w:name="_Toc216434240"/>
      <w:r w:rsidRPr="003D4946">
        <w:rPr>
          <w:rFonts w:ascii="Times New Roman" w:hAnsi="Times New Roman" w:cs="Times New Roman"/>
          <w:b/>
          <w:bCs/>
          <w:sz w:val="24"/>
          <w:szCs w:val="24"/>
        </w:rPr>
        <w:t>3.2.2. Развитие планировочной структуры</w:t>
      </w:r>
      <w:bookmarkEnd w:id="57"/>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Широтные связи являются наиболее развитыми, так как они соединяют район с крупными экономическими центрами (Псков, Великие Луки и др.)</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Существенными аспектами совершенствования территориальной структуры района являются следующие.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Охват всех населенных пунктов надежной и удобной сетью автодорог с твердым покрытием.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перспективных населенных пунктов и создание в них дополнительных площадок для дачного и коттеджного строительства.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Выявление ценных в рекреационном отношении территорий, и создание на них новых объектов рекреации.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перспективных площадок для использования под производственно-складские территории, для размещения агропроизводственных объектов, объектов придорожного сервиса.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Развитие нового малоэтажного жилищного и дачного строительства предполагается преимущественно в центральной части района. Основные территории под дачное и коттеджное строительство возможны вблизи озер Росцо, Оршо и Вехно.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Ожидаются незначительные изменения механического движения населения, которые в целом не повлияют на общую тенденцию сокращения населения. Тем не менее, развитие обрабатывающих производств, малого и среднего предпринимательства может способствовать созданию новых рабочих мест, росту миграционному сальдо и улучшению демографической обстановки в целом.</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58" w:name="_Toc216434241"/>
      <w:r w:rsidRPr="003D4946">
        <w:rPr>
          <w:rFonts w:ascii="Times New Roman" w:hAnsi="Times New Roman" w:cs="Times New Roman"/>
          <w:b/>
          <w:bCs/>
          <w:i/>
          <w:sz w:val="24"/>
          <w:szCs w:val="24"/>
        </w:rPr>
        <w:t>3.3. Расселение</w:t>
      </w:r>
      <w:bookmarkEnd w:id="58"/>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Характер современного использования территории обусловлен рядом факторов, среди которых большое значение имеют экономико-географическое положение района, природные условия и ресурсы, экологические условия. Среди факторов экономико-географического положения отмечаются следующие: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Район находится в центральной части Псковской области, в 144 км к юго-востоку от города Пскова, и примерно на таком же расстоянии от г. Великие Луки.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Относительная удаленность от железных дорог является ограничивающим фактором промышленного развития.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Наличие большого количества малонаселенных деревень затрудняют жителям отдаленных населенных пунктов использовать возможности социально-культурных учреждений.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Внешние связи района обеспечиваются автомобильным транспортом по обширной сети автомобильных дорог общего пользования регионального или межмуниципального и местного значения.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планировочные оси района задаются широтными и меридиональными транспортными направлениями, связывающими центры поселений.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имеет благоприятные экологические условия для проживания: подавляющая часть территории покрыта лесами, лугами и землями сельскохозяйственного назначения. Населенные пункты дисперсно расположены на территории. На территории района расположено более ста озер. Так же, на территории района расположено 3 особо охраняемых природных территории.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Каркас расселения района составляет система сельских населенных пунктов. В районном центре – город Новоржев проживает 34,8 % населения района. В целом расселение носит более компактный характер в центральной и южной частях района и более дисперсный в северной части.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Расселение сельских поселений характеризуется преобладанием мелких населенных пунктов (численностью менее 50 человек), тяготеющих преимущественно к местным дорогам или к водным объектам.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 имеют постоянного населения 132 населенных пункта, что составляет около 30,1 % всех населенных пунктов района. Наибольшее число безлюдных селений отмечается в Новоржевской и Выборской волостях. Наименее освоены северные территории района.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Район отличается достаточно редкой сетью средних по численности населения сел и деревень: около 20 % населения района проживает в населенных пунктах с численностью 100-500 человек. Лишь 7 сельских населенных пунктов имеют более 200 жителей и являются наиболее устойчивыми, составляющими основу каркаса сельского расселения. Самыми крупными сельскими населенными пунктами, в которых проживает более 500 человек, являются деревни выбор и Орша.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Новоржевский район относится к группе редко населенных районов Псковской области. Плотность сельского населения 4,5 человека на квадратный километр, является одной из самых низких в области.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i/>
          <w:sz w:val="24"/>
          <w:szCs w:val="24"/>
        </w:rPr>
      </w:pPr>
      <w:bookmarkStart w:id="59" w:name="_Toc216434242"/>
      <w:r w:rsidRPr="003D4946">
        <w:rPr>
          <w:rFonts w:ascii="Times New Roman" w:hAnsi="Times New Roman" w:cs="Times New Roman"/>
          <w:b/>
          <w:bCs/>
          <w:i/>
          <w:sz w:val="24"/>
          <w:szCs w:val="24"/>
        </w:rPr>
        <w:t>3.4. Демографические ресурсы, прогноз, трудовые ресурсы и занятость</w:t>
      </w:r>
      <w:bookmarkEnd w:id="59"/>
    </w:p>
    <w:p w:rsidR="003D4946" w:rsidRPr="003D4946" w:rsidRDefault="003D4946" w:rsidP="00216875">
      <w:pPr>
        <w:spacing w:after="0" w:line="240" w:lineRule="auto"/>
        <w:jc w:val="both"/>
        <w:rPr>
          <w:rFonts w:ascii="Times New Roman" w:hAnsi="Times New Roman" w:cs="Times New Roman"/>
          <w:b/>
          <w:bCs/>
          <w:i/>
          <w:sz w:val="24"/>
          <w:szCs w:val="24"/>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60" w:name="_Toc216434243"/>
      <w:r w:rsidRPr="003D4946">
        <w:rPr>
          <w:rFonts w:ascii="Times New Roman" w:hAnsi="Times New Roman" w:cs="Times New Roman"/>
          <w:b/>
          <w:bCs/>
          <w:sz w:val="24"/>
          <w:szCs w:val="24"/>
        </w:rPr>
        <w:t>3.4.1. Население района</w:t>
      </w:r>
      <w:bookmarkEnd w:id="60"/>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Основными характеристиками демографического потенциала территории являются: динамика численности населения, его половозрастная и трудовая структура, степень его экономической активности.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Динамика численности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Население района на 01.01.2022 года составляет 7334 человек. В том числе: в городе - 3047 человек и на селе - 4287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населения в муниципальных образованиях района (на 01.01.2022 г.) составляет: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Городское поселение «Новоржев» — 3047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«Выборская волость» — 1407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«Вехнянская волость» — 1511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Сельское поселение «Новоржевская волость» — 1369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урбанизированности составляет 38 %, что ниже среднего показателя по области (67 %). Плотность населения составляет 4,5 чел./км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в т.ч. плотность сельского населения – 2,6 чел./км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Для населения Новоржевского района (как и для России в целом) характерна депопуляция. Ее скорость в последние 6 лет превышает 2 % в год, в среднем по Псковской области – 1,5 % в год. При этом численность сельского населения района сокращается интенсивнее, чем городское.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За 6 лет (2017-2022 гг.) численность сельского населения района сократилась на 16%.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13 - Динамика численности населения на начало года, тыс.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Pr>
      <w:tblGrid>
        <w:gridCol w:w="2351"/>
        <w:gridCol w:w="1158"/>
        <w:gridCol w:w="1162"/>
        <w:gridCol w:w="1162"/>
        <w:gridCol w:w="1162"/>
        <w:gridCol w:w="1164"/>
        <w:gridCol w:w="1164"/>
      </w:tblGrid>
      <w:tr w:rsidR="003D4946" w:rsidRPr="003D4946" w:rsidTr="003D4946">
        <w:trPr>
          <w:trHeight w:val="23"/>
          <w:tblHeader/>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Постоянное население</w:t>
            </w:r>
          </w:p>
        </w:tc>
        <w:tc>
          <w:tcPr>
            <w:tcW w:w="62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2017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 г.</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 г.</w:t>
            </w:r>
          </w:p>
        </w:tc>
        <w:tc>
          <w:tcPr>
            <w:tcW w:w="624"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 г.</w:t>
            </w:r>
          </w:p>
        </w:tc>
        <w:tc>
          <w:tcPr>
            <w:tcW w:w="624"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2022 г.</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 население,</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 т.ч.:</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8253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8044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7849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7670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7334</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 Новоржев</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3296</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 xml:space="preserve">3252 </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3194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3107</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3070</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3047</w:t>
            </w:r>
          </w:p>
        </w:tc>
      </w:tr>
      <w:tr w:rsidR="003D4946" w:rsidRPr="003D4946" w:rsidTr="003D4946">
        <w:trPr>
          <w:trHeight w:val="23"/>
          <w:jc w:val="center"/>
        </w:trPr>
        <w:tc>
          <w:tcPr>
            <w:tcW w:w="1261"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сельское население,</w:t>
            </w: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в т.ч.: </w:t>
            </w:r>
          </w:p>
        </w:tc>
        <w:tc>
          <w:tcPr>
            <w:tcW w:w="621"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4954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 xml:space="preserve">4792 </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4655</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4563</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4287</w:t>
            </w:r>
          </w:p>
        </w:tc>
        <w:tc>
          <w:tcPr>
            <w:tcW w:w="624"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4287</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1673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1604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1535</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1495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1430</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1369</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Вехнянская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1584</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1559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1563</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1548</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1535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1511</w:t>
            </w:r>
          </w:p>
        </w:tc>
      </w:tr>
      <w:tr w:rsidR="003D4946" w:rsidRPr="003D4946" w:rsidTr="003D4946">
        <w:trPr>
          <w:trHeight w:val="23"/>
          <w:jc w:val="center"/>
        </w:trPr>
        <w:tc>
          <w:tcPr>
            <w:tcW w:w="126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Выборская волость</w:t>
            </w:r>
          </w:p>
        </w:tc>
        <w:tc>
          <w:tcPr>
            <w:tcW w:w="6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1700</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1629</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1557</w:t>
            </w:r>
          </w:p>
        </w:tc>
        <w:tc>
          <w:tcPr>
            <w:tcW w:w="62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lang w:val="en-US"/>
              </w:rPr>
            </w:pPr>
            <w:r w:rsidRPr="003D4946">
              <w:rPr>
                <w:rFonts w:ascii="Times New Roman" w:hAnsi="Times New Roman" w:cs="Times New Roman"/>
                <w:sz w:val="24"/>
                <w:szCs w:val="24"/>
                <w:lang w:val="en-US"/>
              </w:rPr>
              <w:t>1520</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1465</w:t>
            </w:r>
          </w:p>
        </w:tc>
        <w:tc>
          <w:tcPr>
            <w:tcW w:w="62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1407</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Основными факторами, влияющими на численность населения, является естественное движение (естественный прирост-убыль) населения, складывающееся из показателей рождаемости и смертности, а также механическое движение населения (миграция).</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14 - Динамика основных показателей, оказывающих влияние на численность населения</w:t>
      </w:r>
    </w:p>
    <w:tbl>
      <w:tblPr>
        <w:tblW w:w="5000" w:type="pct"/>
        <w:jc w:val="center"/>
        <w:tblLook w:val="04A0" w:firstRow="1" w:lastRow="0" w:firstColumn="1" w:lastColumn="0" w:noHBand="0" w:noVBand="1"/>
      </w:tblPr>
      <w:tblGrid>
        <w:gridCol w:w="3652"/>
        <w:gridCol w:w="1707"/>
        <w:gridCol w:w="1018"/>
        <w:gridCol w:w="1018"/>
        <w:gridCol w:w="1018"/>
        <w:gridCol w:w="1016"/>
      </w:tblGrid>
      <w:tr w:rsidR="003D4946" w:rsidRPr="003D4946" w:rsidTr="003D4946">
        <w:trPr>
          <w:trHeight w:val="23"/>
          <w:tblHeader/>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Число родившихся (без мертворожденных)</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41</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51</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Число умерших</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203</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194</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Естественный прирост (убыль)</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человек</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-162</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-138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-134</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-150</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 xml:space="preserve">Общий коэффициент </w:t>
            </w:r>
            <w:r w:rsidRPr="003D4946">
              <w:rPr>
                <w:rFonts w:ascii="Times New Roman" w:hAnsi="Times New Roman" w:cs="Times New Roman"/>
                <w:b/>
                <w:bCs/>
                <w:sz w:val="24"/>
                <w:szCs w:val="24"/>
                <w:lang w:val="en-US"/>
              </w:rPr>
              <w:lastRenderedPageBreak/>
              <w:t>рождаемости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lastRenderedPageBreak/>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44658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44718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44778</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lastRenderedPageBreak/>
              <w:t>Общий коэффициент смертности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44828</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44797</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44796</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44737</w:t>
            </w:r>
          </w:p>
        </w:tc>
      </w:tr>
      <w:tr w:rsidR="003D4946" w:rsidRPr="003D4946" w:rsidTr="003D4946">
        <w:trPr>
          <w:trHeight w:val="23"/>
          <w:jc w:val="center"/>
        </w:trPr>
        <w:tc>
          <w:tcPr>
            <w:tcW w:w="19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Общий коэффициент естественного прироста (убыли)</w:t>
            </w:r>
          </w:p>
        </w:tc>
        <w:tc>
          <w:tcPr>
            <w:tcW w:w="90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промилле</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-19.9</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-17.4</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-17.2</w:t>
            </w:r>
          </w:p>
        </w:tc>
        <w:tc>
          <w:tcPr>
            <w:tcW w:w="54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-19.8</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среднем за год в Новоржевском районе рождается около 48 чел., умирает 194 чел., и естественная убыль населения составляет около 146 человек в год. Таким образом, на протяжении последних лет смертность стабильно превышает рождаемость в 3 раза. При этом уровень рождаемости ниже среднеобластных показателей, а уровень смертности – выше, следовательно, коэффициент естественного прироста один из самых низких в области.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Показатели миграции населения также характеризуются тенденцией к уменьшению количества прибывающих. В среднем по муниципальному району число прибывших около 417 человек в год, в тоже время количество ежегодно выбывающих составило 458 человек. В последние несколько лет для района отрицательное сальдо миграции не компенсирует естественную убыль населения.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Возрастно-половая структура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Половая структура населения района характеризуется значительным преобладанием женщин, особенно в старших нетрудоспособных возрастных группах. Возрастная структура населения носит регрессивный характер с выраженным численным преобладанием лиц пенсионных возрастов над молодежью. Численность населения старше трудоспособного возраста более чем в 2 раза превышает численность населения моложе трудоспособного возраста.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Показатель демографической нагрузки составляет в среднем 1150 человек в возрасте старше и моложе трудоспособного приходится на 1000 лиц трудоспособного возраста, в сельской местности данный показатель значительно выше.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Из-за низкой рождаемости доля лиц моложе трудоспособного возраста в последние годы сокращалась особенно интенсивно.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возрастной категории на территории муниципального района, по данным Федеральной службы государственной статистики, на 01.01.2021 год преобладающей остается категория населения старше трудоспособного возраста 2965 человек, в том числе 865 мужчин и 2100 женщин. Трудоспособное население Новоржевского района составляет 3482 человека, в том числе 1986 мужчин и 1514 женщин, что является положительным потенциалом. Почти 30% всего населения составляют мужчины трудоспособного возраста.</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15 - Распределение численности населения Новоржевского района по полу и основным возрастным группам на 01.01.2021 (по данным Псковстата)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0"/>
        <w:gridCol w:w="1626"/>
        <w:gridCol w:w="2085"/>
        <w:gridCol w:w="2012"/>
        <w:gridCol w:w="2156"/>
      </w:tblGrid>
      <w:tr w:rsidR="003D4946" w:rsidRPr="003D4946" w:rsidTr="003D4946">
        <w:trPr>
          <w:cantSplit/>
          <w:trHeight w:val="23"/>
          <w:tblHeader/>
          <w:jc w:val="center"/>
        </w:trPr>
        <w:tc>
          <w:tcPr>
            <w:tcW w:w="1550" w:type="dxa"/>
            <w:vMerge w:val="restart"/>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1228" w:type="dxa"/>
            <w:vMerge w:val="restart"/>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Численность населения</w:t>
            </w:r>
          </w:p>
        </w:tc>
        <w:tc>
          <w:tcPr>
            <w:tcW w:w="0" w:type="auto"/>
            <w:gridSpan w:val="3"/>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 том числе в возрасте:</w:t>
            </w:r>
          </w:p>
        </w:tc>
      </w:tr>
      <w:tr w:rsidR="003D4946" w:rsidRPr="003D4946" w:rsidTr="003D4946">
        <w:trPr>
          <w:cantSplit/>
          <w:trHeight w:val="23"/>
          <w:tblHeader/>
          <w:jc w:val="center"/>
        </w:trPr>
        <w:tc>
          <w:tcPr>
            <w:tcW w:w="1550" w:type="dxa"/>
            <w:vMerge/>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1228" w:type="dxa"/>
            <w:vMerge/>
            <w:vAlign w:val="center"/>
          </w:tcPr>
          <w:p w:rsidR="003D4946" w:rsidRPr="003D4946" w:rsidRDefault="003D4946" w:rsidP="00216875">
            <w:pPr>
              <w:spacing w:after="0" w:line="240" w:lineRule="auto"/>
              <w:jc w:val="both"/>
              <w:rPr>
                <w:rFonts w:ascii="Times New Roman" w:hAnsi="Times New Roman" w:cs="Times New Roman"/>
                <w:b/>
                <w:sz w:val="24"/>
                <w:szCs w:val="24"/>
              </w:rPr>
            </w:pP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Моложе трудоспособного </w:t>
            </w:r>
            <w:r w:rsidRPr="003D4946">
              <w:rPr>
                <w:rFonts w:ascii="Times New Roman" w:hAnsi="Times New Roman" w:cs="Times New Roman"/>
                <w:b/>
                <w:sz w:val="24"/>
                <w:szCs w:val="24"/>
                <w:vertAlign w:val="superscript"/>
              </w:rPr>
              <w:t>1</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Трудоспособном </w:t>
            </w:r>
            <w:r w:rsidRPr="003D4946">
              <w:rPr>
                <w:rFonts w:ascii="Times New Roman" w:hAnsi="Times New Roman" w:cs="Times New Roman"/>
                <w:b/>
                <w:sz w:val="24"/>
                <w:szCs w:val="24"/>
                <w:vertAlign w:val="superscript"/>
              </w:rPr>
              <w:t>2</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Старше трудоспособного</w:t>
            </w:r>
            <w:r w:rsidRPr="003D4946">
              <w:rPr>
                <w:rFonts w:ascii="Times New Roman" w:hAnsi="Times New Roman" w:cs="Times New Roman"/>
                <w:b/>
                <w:sz w:val="24"/>
                <w:szCs w:val="24"/>
                <w:vertAlign w:val="superscript"/>
              </w:rPr>
              <w:t>3</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Всего</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1053</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3482</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2965</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мужчин</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3380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547</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1968</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865</w:t>
            </w:r>
          </w:p>
        </w:tc>
      </w:tr>
      <w:tr w:rsidR="003D4946" w:rsidRPr="003D4946" w:rsidTr="003D4946">
        <w:trPr>
          <w:cantSplit/>
          <w:trHeight w:val="23"/>
          <w:tblHeader/>
          <w:jc w:val="center"/>
        </w:trPr>
        <w:tc>
          <w:tcPr>
            <w:tcW w:w="1550"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женщин</w:t>
            </w:r>
          </w:p>
        </w:tc>
        <w:tc>
          <w:tcPr>
            <w:tcW w:w="1228" w:type="dxa"/>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4120</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506</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1514</w:t>
            </w:r>
          </w:p>
        </w:tc>
        <w:tc>
          <w:tcPr>
            <w:tcW w:w="0" w:type="auto"/>
            <w:tcMar>
              <w:top w:w="0" w:type="dxa"/>
              <w:left w:w="108" w:type="dxa"/>
              <w:bottom w:w="0" w:type="dxa"/>
              <w:right w:w="108" w:type="dxa"/>
            </w:tcMar>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2100</w:t>
            </w:r>
          </w:p>
        </w:tc>
      </w:tr>
    </w:tbl>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t>1</w:t>
      </w:r>
      <w:r w:rsidRPr="003D4946">
        <w:rPr>
          <w:rFonts w:ascii="Times New Roman" w:hAnsi="Times New Roman" w:cs="Times New Roman"/>
          <w:sz w:val="24"/>
          <w:szCs w:val="24"/>
        </w:rPr>
        <w:t xml:space="preserve"> Мужчины и женщины в возрасте 0-15 лет.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lastRenderedPageBreak/>
        <w:t>2</w:t>
      </w:r>
      <w:r w:rsidRPr="003D4946">
        <w:rPr>
          <w:rFonts w:ascii="Times New Roman" w:hAnsi="Times New Roman" w:cs="Times New Roman"/>
          <w:sz w:val="24"/>
          <w:szCs w:val="24"/>
        </w:rPr>
        <w:t xml:space="preserve"> С 1 января 2020 года - мужчины в возрасте 16-60 лет, женщины - 16-55 года.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vertAlign w:val="superscript"/>
        </w:rPr>
        <w:t>3</w:t>
      </w:r>
      <w:r w:rsidRPr="003D4946">
        <w:rPr>
          <w:rFonts w:ascii="Times New Roman" w:hAnsi="Times New Roman" w:cs="Times New Roman"/>
          <w:sz w:val="24"/>
          <w:szCs w:val="24"/>
        </w:rPr>
        <w:t xml:space="preserve"> С 1 января 2020 года - мужчины в возрасте 61 и более лет, женщины в возрасте 56 и более лет.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Традиционно прямой демографический прогноз численности населения осуществляется на основе учета таких факторов как сложившийся уровень рождаемости и смертности, величина миграционного сальдо и ожидаемые тенденции изменения этих параметров.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Схеме территориального планирования Псковской области численность Новоржевского района на 2030 г. определена в 7,1 тыс. человек. При ее разработке за основу был взят максимальный вариант прогноза, учитывающий «Концепцию демографической политики Российской Федерации на период до 2025 года» (утверждена указом Президента Российской Федерации № 1351 от 9 октября 2007 г.).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наблюдается сокращение численности населения, обусловленное четырехкратным превышением смертности над рождаемостью, которое не компенсируется миграционным приростом. В связи с выраженной регрессивностью возрастной структурой населения, существенного улучшения демографических параметров в будущем не произойдет. В связи с повышенной долей населения старше трудоспособного возраста в районе будут наблюдаться более низкие, чем в целом по области, общие коэффициенты рождаемости. Коэффициент смертности останется существенно выше, чем в среднем по Псковской области и, в связи с продолжающимся постарением возрастной структуры населения, к концу прогнозного периода может немного увеличиться в сравнении с современным уровнем.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Демографическая ситуация в Новоржевском районе по основным показателям хуже среднеобластного уровня. Несмотря на некоторое снижение смертности, имеются предпосылки для дальнейшей депопуляции и старения населения. Продолжает активно сокращаться численность сельского населения, что потенциально ведет к вымиранию сельских населенных пунктов. Возрастная структура населения характеризуется высокой степенью постарения населения и сниженной долей лиц в трудоспособном возрасте. Отчасти это может быть связано с продолжающимся оттоком экономически активного населения, особенно молодежи, за пределы района. Наряду с мероприятиями по снижению смертности и повышению рождаемости району необходимо развитие привлекательных для молодежи видов экономической деятельности, повышение качества жизни.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Прогноз численности постоянного населения, произведенный инерционным способом и основанный на анализе фактической численности населения за прошедшие 10 лет, показывает неутешительную тенденцию к сокращению. Так к 2030 году общее число жителей района уменьшится приблизительно на 1500 человек. Для возможности рассмотрения перспективного развития территории муниципального образования Проектом внесения изменений в схему территориального планирования муниципального образования «Новоржевский район», взят стабилизационный сценарий развития, при котором ставится задача сохранить на расчетный период численность населения на современном уровне.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Достигнуть этого результата возможно при создании повышенного уровня социально-экономической привлекательности рассматриваемой территории.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61" w:name="_Toc216434244"/>
      <w:r w:rsidRPr="003D4946">
        <w:rPr>
          <w:rFonts w:ascii="Times New Roman" w:hAnsi="Times New Roman" w:cs="Times New Roman"/>
          <w:b/>
          <w:bCs/>
          <w:sz w:val="24"/>
          <w:szCs w:val="24"/>
        </w:rPr>
        <w:t>3.4.2. Трудоустройство</w:t>
      </w:r>
      <w:bookmarkEnd w:id="61"/>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данным территориального органа Федеральной службы государственной статистики по Псковской области численность постоянного населения Новоржевского района на начало 2021 года была 7500 чел., численность населения в трудоспособном возрасте составляла 3482 чел. (46,4%), моложе трудоспособного – 1053 чел. (14,0%), старше трудоспособного – 2965 чел. (39,5%).</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январе-апреле 2022 года в Отделение ГКУ ПО «ОЦЗН» по Новоржевскому району от граждан поступило 152 заявления о предоставлении государственных услуг в сфере </w:t>
      </w:r>
      <w:r w:rsidRPr="003D4946">
        <w:rPr>
          <w:rFonts w:ascii="Times New Roman" w:hAnsi="Times New Roman" w:cs="Times New Roman"/>
          <w:sz w:val="24"/>
          <w:szCs w:val="24"/>
        </w:rPr>
        <w:lastRenderedPageBreak/>
        <w:t>занятости населения, в аналогичном периоде прошлого года (далее – АППГ) обратились за государственными услугами 162 чел. За содействием в поиске подходящей работы обратились 36 чел., что на 40,0% меньше, чем в аналогичном периоде 2021 года (60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Уменьшилась численность граждан, признанных безработными, в январе-апреле 2022 года (27 чел.) на 28,9% по сравнению с АППГ (38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количество граждан, трудоустроенных при содействии службы занятости (19 чел.), уменьшилось по сравнению с АППГ на 20,8% (24 чел.), число трудоустроенных безработных (12 чел.) уменьшилось на 20,0% в сравнении с АППГ (15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Численность безработных граждан, зарегистрированных в службе занятости населения Новоржевского района, на 01.05.2022 составила 47 чел., снижение к началу 2022 года составило 10 чел. или 17,5%.</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регистрируемой безработицы на 01.05.2022 составил 1,4% к численности населения в трудоспособном возрасте, что на 0,3 процентных пункта больше, чем на 01.05.2021 (1,1%).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Напряжённость на рынке рабочей силы (численность незанятых граждан, зарегистрированных в службе занятости, в расчёте на одну вакансию) на 01.05.2022 составила 1,0 чел./вак., в АППГ на одну вакансию претендовали 0,5 чел.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01.05.2022 число вакансий, заявленных работодателями в службу занятости, составило 50 ед., что на 51,5% меньше, чем на соответствующую дату прошлого года (103 ед.), из них по рабочим профессиям – 28 вакансий или 56,0%. Все заявленные вакансии с оплатой труда выше прожиточного минимума, как и в АППГ.</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 данным Федеральной службы государственной статистики среднесписочная численность работников организаций (без субъектов малого предпринимательства) в январе 2022 составила 919 человек, в том числе: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Сельское, лесное хозяйство, охота, рыболовство и рыбоводство - 26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Обеспечение электрической энергией, газом и паром; кондиционирование воздуха - 106;</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Торговля оптовая и розничная; ремонт автотранспортных средств и мотоциклов - 147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Транспортировка и хранение - 70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Государственное управление и обеспечение военной безопасности; социальное обеспечение - 145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Образование - 181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Деятельность в области здравоохранения и социальных услуг -180 человек.</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Население района работает преимущественно в сельском хозяйстве, также высок процент занятых в образовании, здравоохранении и торговле. Основные работодатели, кроме сельскохозяйственных предприятий: МП СПК «Кром», ГОРПО «Новоржевский хлебозавод», ООО «Региональная инвестиционная компания Кабели и провода», Обособленное структурное предприятие Новоржевский филиал ГБУ ПО «Псковавтодор» (47 чел.), МП Новоржевского района «Полиграф», «Агропромсервис», МП Новоржевского района «Жилищно-коммунальное объединение» (134 чел.), ООО «Алтун», ГП ПО «Лесхозпром», ООО «Абрес», Новоржевское городское отделение связи. Основные места приложения труда располагаются преимущественно в г. Новоржев, а также в д. Алтун, д Стехново.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ощущается недостаток мест приложения труда, вследствие чего наблюдается маятниковая и вахтовая миграция в г. Псков, г. Великие Луки, г. Санкт-Петербург и другие крупные центры региона.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Часть населения занято в домашнем и личном подсобном хозяйстве без производства товаров и услуг для реализации, часть из них – нерегистрируемая безработица. Это довольно трудно мобилизуемый резерв трудовых ресурсов.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Ситуацию в сфере занятости в целом по району нельзя считать благополучной. Более полному использованию трудовых ресурсов может способствовать улучшение </w:t>
      </w:r>
      <w:r w:rsidRPr="003D4946">
        <w:rPr>
          <w:rFonts w:ascii="Times New Roman" w:hAnsi="Times New Roman" w:cs="Times New Roman"/>
          <w:sz w:val="24"/>
          <w:szCs w:val="24"/>
        </w:rPr>
        <w:lastRenderedPageBreak/>
        <w:t>транспортной связанности территории района и мероприятия по созданию новых рабочих мест.</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Тем не менее, с учетом далеко не полного использования трудовых ресурсов, район должен стремиться к максимально возможному росту числа привлекательных мест приложения труда, что будет способствовать сокращению миграционного оттока населения и закреплению в районе молодежи и трудоспособного населения.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Доля занятого населения может увеличиться в связи с развитием малого и среднего бизнеса. Перспективы появления новых рабочих мест связываются с дальнейшим развитием лесопереработки, производства и переработки сельскохозяйственной продукции, пищевой промышленности, добычи общераспространенных полезных ископаемых и производства строительных материалов.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дальнейшем на территории района большее развитие может получить туристско-рекреационная деятельность.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center"/>
        <w:rPr>
          <w:rFonts w:ascii="Times New Roman" w:hAnsi="Times New Roman" w:cs="Times New Roman"/>
          <w:b/>
          <w:bCs/>
          <w:i/>
          <w:sz w:val="24"/>
          <w:szCs w:val="24"/>
        </w:rPr>
      </w:pPr>
      <w:bookmarkStart w:id="62" w:name="_Toc227763227"/>
      <w:bookmarkStart w:id="63" w:name="_Toc216434245"/>
      <w:r w:rsidRPr="003D4946">
        <w:rPr>
          <w:rFonts w:ascii="Times New Roman" w:hAnsi="Times New Roman" w:cs="Times New Roman"/>
          <w:b/>
          <w:bCs/>
          <w:i/>
          <w:sz w:val="24"/>
          <w:szCs w:val="24"/>
        </w:rPr>
        <w:t>3.5. Жилищный фонд</w:t>
      </w:r>
      <w:bookmarkEnd w:id="62"/>
      <w:r w:rsidRPr="003D4946">
        <w:rPr>
          <w:rFonts w:ascii="Times New Roman" w:hAnsi="Times New Roman" w:cs="Times New Roman"/>
          <w:b/>
          <w:bCs/>
          <w:i/>
          <w:sz w:val="24"/>
          <w:szCs w:val="24"/>
        </w:rPr>
        <w:t xml:space="preserve"> и жилищное строительство</w:t>
      </w:r>
      <w:bookmarkEnd w:id="63"/>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Обеспечение населения современным и относительно недорогим жильем – важнейший фактор социальной политики. Общий объем жилищного фонда Новоржевского района составляет 426,2 тыс.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в т.ч. 86,2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составляет малоэтажная (1-4 эт.) застройка и 340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составляет индивидуальное жилищное строительство.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Около 28 % приходится на долю городского жилищного фонда. Показатель обеспеченности жилищным фондом в расчете на душу населения превышает среднеобластной уровень (32,9 и 26,0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/чел. соответственно). Жилищная обеспеченность в сельской местности значительно выше, чем в городской – 37,0 и 25,8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xml:space="preserve">/чел. соответственно.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16 - Общая характеристика жилищного фонда (актуализированные данные)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2797"/>
        <w:gridCol w:w="2489"/>
      </w:tblGrid>
      <w:tr w:rsidR="003D4946" w:rsidRPr="003D4946" w:rsidTr="003D4946">
        <w:trPr>
          <w:trHeight w:val="23"/>
          <w:tblHeader/>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Един. изм.</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Значение</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 жилых домов</w:t>
            </w:r>
          </w:p>
        </w:tc>
        <w:tc>
          <w:tcPr>
            <w:tcW w:w="1483"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квартир/ м</w:t>
            </w:r>
            <w:r w:rsidRPr="003D4946">
              <w:rPr>
                <w:rFonts w:ascii="Times New Roman" w:hAnsi="Times New Roman" w:cs="Times New Roman"/>
                <w:b/>
                <w:bCs/>
                <w:sz w:val="24"/>
                <w:szCs w:val="24"/>
                <w:vertAlign w:val="superscript"/>
              </w:rPr>
              <w:t>2</w:t>
            </w:r>
            <w:r w:rsidRPr="003D4946">
              <w:rPr>
                <w:rFonts w:ascii="Times New Roman" w:hAnsi="Times New Roman" w:cs="Times New Roman"/>
                <w:b/>
                <w:bCs/>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19,1</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том числе индивидуальная жилая застройка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36,3</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до 3-х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17,5</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4-5 этажные жилые дома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этажностью более 5 –ти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 жилых домов</w:t>
            </w:r>
          </w:p>
        </w:tc>
        <w:tc>
          <w:tcPr>
            <w:tcW w:w="1483" w:type="pct"/>
            <w:vMerge w:val="restar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домов</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6938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том числе индивидуальная жилая застройка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6573</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до 3-х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365</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4-5 этажные жилые дома</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Многоквартирные жилые дома этажностью более 5 –ти этажей</w:t>
            </w:r>
          </w:p>
        </w:tc>
        <w:tc>
          <w:tcPr>
            <w:tcW w:w="148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Характеристика жилищного фонда по материалу стен - в том числе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426,8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каменные (кирпичные, панельных и т.д.)</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105,6</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деревянные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278,4</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из прочих материалов</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Характеристика жилищного фонда по износу</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общей площади</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426,8</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том числе с износом от 0 до 30%</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72,9</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30 до 60%</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110,0</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60% и выше</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243,9</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жилищного фонда инженерным оборудованием</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от общего количества жилищного фонда</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w:t>
            </w:r>
          </w:p>
        </w:tc>
      </w:tr>
      <w:tr w:rsidR="003D4946" w:rsidRPr="003D4946" w:rsidTr="003D4946">
        <w:trPr>
          <w:trHeight w:val="23"/>
          <w:jc w:val="center"/>
        </w:trPr>
        <w:tc>
          <w:tcPr>
            <w:tcW w:w="2197"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водопроводом</w:t>
            </w:r>
          </w:p>
        </w:tc>
        <w:tc>
          <w:tcPr>
            <w:tcW w:w="148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-централизованной канализацией</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-сетевым газом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централизованным теплоснабжением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w:t>
            </w:r>
          </w:p>
        </w:tc>
      </w:tr>
      <w:tr w:rsidR="003D4946" w:rsidRPr="003D4946" w:rsidTr="003D4946">
        <w:trPr>
          <w:trHeight w:val="23"/>
          <w:jc w:val="center"/>
        </w:trPr>
        <w:tc>
          <w:tcPr>
            <w:tcW w:w="2197"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горячим водоснабжением</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Городской жилфонд района характеризуется высокой долей деревянных одноэтажных домов, типичных для сельского образа жизни. Этот фактор оказывает влияние и на невысокий уровень обеспеченности жилфонда различными видами инженерного благоустройства.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Объем всего ветхого и аварийного жилищного фонда на начало 2021 г. составляет 7,044 тыс.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Удельный вес ветхого и аварийного фонда в общем жилищном фонде района - 1,7 %, что соответствует среднему значению по области.</w:t>
      </w:r>
    </w:p>
    <w:p w:rsidR="003D4946" w:rsidRPr="003D4946" w:rsidRDefault="003D4946" w:rsidP="00216875">
      <w:pPr>
        <w:spacing w:after="0" w:line="240" w:lineRule="auto"/>
        <w:jc w:val="both"/>
        <w:rPr>
          <w:rFonts w:ascii="Times New Roman" w:hAnsi="Times New Roman" w:cs="Times New Roman"/>
          <w:b/>
          <w:bCs/>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17 - Динамика ветхого и аварийного жилищного фонда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1DE" w:themeFill="accent3" w:themeFillTint="32"/>
        <w:tblLook w:val="04A0" w:firstRow="1" w:lastRow="0" w:firstColumn="1" w:lastColumn="0" w:noHBand="0" w:noVBand="1"/>
      </w:tblPr>
      <w:tblGrid>
        <w:gridCol w:w="3517"/>
        <w:gridCol w:w="1368"/>
        <w:gridCol w:w="907"/>
        <w:gridCol w:w="908"/>
        <w:gridCol w:w="908"/>
        <w:gridCol w:w="908"/>
        <w:gridCol w:w="913"/>
      </w:tblGrid>
      <w:tr w:rsidR="003D4946" w:rsidRPr="003D4946" w:rsidTr="003D4946">
        <w:trPr>
          <w:trHeight w:val="23"/>
          <w:tblHeader/>
          <w:jc w:val="center"/>
        </w:trPr>
        <w:tc>
          <w:tcPr>
            <w:tcW w:w="1894"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Жилищный фонд</w:t>
            </w:r>
          </w:p>
        </w:tc>
        <w:tc>
          <w:tcPr>
            <w:tcW w:w="553" w:type="pct"/>
            <w:vMerge w:val="restar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 измерения</w:t>
            </w:r>
          </w:p>
        </w:tc>
        <w:tc>
          <w:tcPr>
            <w:tcW w:w="2553" w:type="pct"/>
            <w:gridSpan w:val="5"/>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Значение по годам</w:t>
            </w:r>
          </w:p>
        </w:tc>
      </w:tr>
      <w:tr w:rsidR="003D4946" w:rsidRPr="003D4946" w:rsidTr="003D4946">
        <w:trPr>
          <w:trHeight w:val="23"/>
          <w:jc w:val="center"/>
        </w:trPr>
        <w:tc>
          <w:tcPr>
            <w:tcW w:w="1894"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553" w:type="pct"/>
            <w:vMerge/>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2017</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Общая площадь жилых помещений, тыс.м</w:t>
            </w:r>
            <w:r w:rsidRPr="003D4946">
              <w:rPr>
                <w:rFonts w:ascii="Times New Roman" w:hAnsi="Times New Roman" w:cs="Times New Roman"/>
                <w:sz w:val="24"/>
                <w:szCs w:val="24"/>
                <w:vertAlign w:val="superscript"/>
              </w:rPr>
              <w:t>2</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 м</w:t>
            </w:r>
            <w:r w:rsidRPr="003D4946">
              <w:rPr>
                <w:rFonts w:ascii="Times New Roman" w:hAnsi="Times New Roman" w:cs="Times New Roman"/>
                <w:sz w:val="24"/>
                <w:szCs w:val="24"/>
                <w:vertAlign w:val="superscript"/>
              </w:rPr>
              <w:t>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2062,2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7583,6</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7044</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Из нее: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Общая площадь жилых помещений в ветхих и аварийных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тыс. м</w:t>
            </w:r>
            <w:r w:rsidRPr="003D4946">
              <w:rPr>
                <w:rFonts w:ascii="Times New Roman" w:hAnsi="Times New Roman" w:cs="Times New Roman"/>
                <w:sz w:val="24"/>
                <w:szCs w:val="24"/>
                <w:vertAlign w:val="superscript"/>
              </w:rPr>
              <w:t>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2062,2</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8218,6</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7583,6</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7044</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проживающих в ветхих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проживающих в аварийных жилых домах</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105</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123</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81</w:t>
            </w:r>
          </w:p>
        </w:tc>
      </w:tr>
      <w:tr w:rsidR="003D4946" w:rsidRPr="003D4946" w:rsidTr="003D4946">
        <w:trPr>
          <w:trHeight w:val="23"/>
          <w:jc w:val="center"/>
        </w:trPr>
        <w:tc>
          <w:tcPr>
            <w:tcW w:w="189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Переселено из ветхих и аварийных жилых домов за отчетный год</w:t>
            </w:r>
          </w:p>
        </w:tc>
        <w:tc>
          <w:tcPr>
            <w:tcW w:w="553"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чел.</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w:t>
            </w:r>
          </w:p>
        </w:tc>
        <w:tc>
          <w:tcPr>
            <w:tcW w:w="510"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w:t>
            </w:r>
          </w:p>
        </w:tc>
        <w:tc>
          <w:tcPr>
            <w:tcW w:w="514" w:type="pct"/>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27</w:t>
            </w:r>
          </w:p>
        </w:tc>
      </w:tr>
    </w:tbl>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территории МО «Новоржевский район» признано аварийными 7 ед. многоквартирных домов, расположенных по адресам: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г. Новоржев, ул. Германа, д. 42;</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Вехно, ул. Центральная, д.1;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Выбор, пл. Новоселов, д. 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Выбор, пл. Новоселов, д. 2;</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Выбор, пл. Новоселов, д. 3;</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Выбор, пл. Новоселов, д. 4;</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Веска, ул. Новая, д. 1;</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 Новоржевский район, д. Макарово, ул. Центральная, д. 14</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не прекращается строительство жилья.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Ввод в действие жилых домов на территории муниципального образования составил:</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Ввод в действие индивидуальных жилых домов на территории муниципального образования.</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18 - Динамика ветхого и аварийного жилищного фонда</w:t>
      </w:r>
    </w:p>
    <w:tbl>
      <w:tblPr>
        <w:tblW w:w="5000" w:type="pct"/>
        <w:jc w:val="center"/>
        <w:tblLook w:val="04A0" w:firstRow="1" w:lastRow="0" w:firstColumn="1" w:lastColumn="0" w:noHBand="0" w:noVBand="1"/>
      </w:tblPr>
      <w:tblGrid>
        <w:gridCol w:w="4209"/>
        <w:gridCol w:w="1769"/>
        <w:gridCol w:w="696"/>
        <w:gridCol w:w="916"/>
        <w:gridCol w:w="920"/>
        <w:gridCol w:w="919"/>
      </w:tblGrid>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2017</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r>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Жилые здания</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w:t>
            </w:r>
            <w:r w:rsidRPr="003D4946">
              <w:rPr>
                <w:rFonts w:ascii="Times New Roman" w:hAnsi="Times New Roman" w:cs="Times New Roman"/>
                <w:sz w:val="24"/>
                <w:szCs w:val="24"/>
                <w:vertAlign w:val="superscript"/>
              </w:rPr>
              <w:t>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2322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2971</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1856</w:t>
            </w:r>
          </w:p>
        </w:tc>
      </w:tr>
      <w:tr w:rsidR="003D4946" w:rsidRPr="003D4946" w:rsidTr="003D4946">
        <w:trPr>
          <w:trHeight w:val="23"/>
          <w:jc w:val="center"/>
        </w:trPr>
        <w:tc>
          <w:tcPr>
            <w:tcW w:w="1307"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Жилые дома, построенные населением</w:t>
            </w:r>
          </w:p>
        </w:tc>
        <w:tc>
          <w:tcPr>
            <w:tcW w:w="1002"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w:t>
            </w:r>
            <w:r w:rsidRPr="003D4946">
              <w:rPr>
                <w:rFonts w:ascii="Times New Roman" w:hAnsi="Times New Roman" w:cs="Times New Roman"/>
                <w:sz w:val="24"/>
                <w:szCs w:val="24"/>
                <w:vertAlign w:val="superscript"/>
              </w:rPr>
              <w:t>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2322</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2971</w:t>
            </w:r>
          </w:p>
        </w:tc>
        <w:tc>
          <w:tcPr>
            <w:tcW w:w="673" w:type="pct"/>
            <w:tcBorders>
              <w:top w:val="single" w:sz="8" w:space="0" w:color="000000"/>
              <w:left w:val="single" w:sz="8" w:space="0" w:color="000000"/>
              <w:bottom w:val="single" w:sz="8" w:space="0" w:color="000000"/>
              <w:right w:val="single" w:sz="8" w:space="0" w:color="000000"/>
            </w:tcBorders>
            <w:shd w:val="clear" w:color="auto" w:fill="FFFFFF"/>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1856</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Число семей, состоящих на учете в качестве нуждающихся в жилых помещениях на конец 2021 года, составил 94, в том числе 8 молодых семей, 10 семей. Проживающих в ветхом и аварийном жилье, 31 семья, проживающая в сельской местности, 8 молодых семей, проживающих в сельской местности.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сравнении с параметрами благоустройства жилищного фонда Псковской области Новоржевский район оказывается в гораздо менее выгодной позиции. Обеспеченность всеми видами благоустройства ниже, чем в среднем по области, за исключением уровня газификации, но только в городской местности.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19 - Доля благоустроенного жилья по основным видам благоустройства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873"/>
        <w:gridCol w:w="975"/>
        <w:gridCol w:w="873"/>
        <w:gridCol w:w="975"/>
        <w:gridCol w:w="873"/>
        <w:gridCol w:w="975"/>
        <w:gridCol w:w="873"/>
        <w:gridCol w:w="975"/>
      </w:tblGrid>
      <w:tr w:rsidR="003D4946" w:rsidRPr="003D4946" w:rsidTr="003D4946">
        <w:trPr>
          <w:trHeight w:val="23"/>
          <w:jc w:val="center"/>
        </w:trPr>
        <w:tc>
          <w:tcPr>
            <w:tcW w:w="1080" w:type="pct"/>
            <w:vMerge w:val="restar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Территория</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Центральное отопление</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Водопровод</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Канализация</w:t>
            </w:r>
          </w:p>
        </w:tc>
        <w:tc>
          <w:tcPr>
            <w:tcW w:w="980" w:type="pct"/>
            <w:gridSpan w:val="2"/>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Газ</w:t>
            </w:r>
          </w:p>
        </w:tc>
      </w:tr>
      <w:tr w:rsidR="003D4946" w:rsidRPr="003D4946" w:rsidTr="003D4946">
        <w:trPr>
          <w:trHeight w:val="23"/>
          <w:jc w:val="center"/>
        </w:trPr>
        <w:tc>
          <w:tcPr>
            <w:tcW w:w="1080" w:type="pct"/>
            <w:vMerge/>
            <w:vAlign w:val="center"/>
          </w:tcPr>
          <w:p w:rsidR="003D4946" w:rsidRPr="003D4946" w:rsidRDefault="003D4946" w:rsidP="00216875">
            <w:pPr>
              <w:spacing w:after="0" w:line="240" w:lineRule="auto"/>
              <w:jc w:val="both"/>
              <w:rPr>
                <w:rFonts w:ascii="Times New Roman" w:hAnsi="Times New Roman" w:cs="Times New Roman"/>
                <w:b/>
                <w:bCs/>
                <w:i/>
                <w:sz w:val="24"/>
                <w:szCs w:val="24"/>
              </w:rPr>
            </w:pP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c>
          <w:tcPr>
            <w:tcW w:w="463"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всего</w:t>
            </w:r>
          </w:p>
        </w:tc>
        <w:tc>
          <w:tcPr>
            <w:tcW w:w="517"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 пгт.</w:t>
            </w:r>
          </w:p>
        </w:tc>
      </w:tr>
      <w:tr w:rsidR="003D4946" w:rsidRPr="003D4946" w:rsidTr="003D4946">
        <w:trPr>
          <w:trHeight w:val="23"/>
          <w:jc w:val="center"/>
        </w:trPr>
        <w:tc>
          <w:tcPr>
            <w:tcW w:w="1080"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Псковская область</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76</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74</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81</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86</w:t>
            </w:r>
          </w:p>
        </w:tc>
      </w:tr>
      <w:tr w:rsidR="003D4946" w:rsidRPr="003D4946" w:rsidTr="003D4946">
        <w:trPr>
          <w:trHeight w:val="23"/>
          <w:jc w:val="center"/>
        </w:trPr>
        <w:tc>
          <w:tcPr>
            <w:tcW w:w="1080" w:type="pct"/>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Новоржевский р-н</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c>
          <w:tcPr>
            <w:tcW w:w="463"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w:t>
            </w:r>
          </w:p>
        </w:tc>
        <w:tc>
          <w:tcPr>
            <w:tcW w:w="517" w:type="pct"/>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90</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Расчет объемов нового жилищного строительства предполагает рост объемов, преимущественно за счет индивидуального жилищного строительства, в том числе дачного. Этот вариант можно охарактеризовать как стабилизационный, при котором на протяжении всего периода проектирования ежегодный ввод на душу населения составит около 0,3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/чел, а общий объем ввода составит 29,4 тыс. м</w:t>
      </w:r>
      <w:r w:rsidRPr="003D4946">
        <w:rPr>
          <w:rFonts w:ascii="Times New Roman" w:hAnsi="Times New Roman" w:cs="Times New Roman"/>
          <w:iCs/>
          <w:sz w:val="24"/>
          <w:szCs w:val="24"/>
          <w:vertAlign w:val="superscript"/>
        </w:rPr>
        <w:t>2</w:t>
      </w:r>
      <w:r w:rsidRPr="003D4946">
        <w:rPr>
          <w:rFonts w:ascii="Times New Roman" w:hAnsi="Times New Roman" w:cs="Times New Roman"/>
          <w:sz w:val="24"/>
          <w:szCs w:val="24"/>
        </w:rPr>
        <w:t xml:space="preserve">. </w:t>
      </w:r>
    </w:p>
    <w:p w:rsidR="003D4946" w:rsidRPr="003D4946" w:rsidRDefault="003D4946" w:rsidP="00216875">
      <w:pPr>
        <w:spacing w:after="0" w:line="240" w:lineRule="auto"/>
        <w:jc w:val="both"/>
        <w:rPr>
          <w:rFonts w:ascii="Times New Roman" w:hAnsi="Times New Roman" w:cs="Times New Roman"/>
          <w:sz w:val="24"/>
          <w:szCs w:val="24"/>
        </w:rPr>
      </w:pPr>
      <w:bookmarkStart w:id="64" w:name="OLE_LINK3"/>
      <w:bookmarkStart w:id="65" w:name="OLE_LINK4"/>
      <w:r w:rsidRPr="003D4946">
        <w:rPr>
          <w:rFonts w:ascii="Times New Roman" w:hAnsi="Times New Roman" w:cs="Times New Roman"/>
          <w:sz w:val="24"/>
          <w:szCs w:val="24"/>
        </w:rPr>
        <w:t>Учитывая привлекательность района для сезонного и постоянного проживания, в том числе для размещения второго и третьего жилья жителей больших городов, дачного и коттеджного строительства, общие объемы нового жилищного строительства могут возрасти ориентировочно на 20% и, соответственно, составить 36 тыс.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Основной объем ввода жилья предполагается на территории города Новоржев и приближенной к нему территории волостей. Исходя из реально сложившейся в сельской местности плотности застройки 100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 xml:space="preserve"> на участок 15 соток и необходимости отведения 20 % площади селитебной территории для размещения улиц и проездов и т.п. под жилищное строительство на весь расчетный срок действия Схемы территориального планирования может понадобиться до 68 га территории, в т.ч. без дополнительного учета дачного строительства – до 55 га.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20 - Расчет объемов нового жилищного строительства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4"/>
        <w:gridCol w:w="2910"/>
        <w:gridCol w:w="2675"/>
      </w:tblGrid>
      <w:tr w:rsidR="003D4946" w:rsidRPr="003D4946" w:rsidTr="003D4946">
        <w:trPr>
          <w:trHeight w:val="20"/>
          <w:tblHeader/>
          <w:jc w:val="center"/>
        </w:trPr>
        <w:tc>
          <w:tcPr>
            <w:tcW w:w="2047" w:type="pct"/>
            <w:vMerge w:val="restar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Показатель</w:t>
            </w:r>
          </w:p>
        </w:tc>
        <w:tc>
          <w:tcPr>
            <w:tcW w:w="2953" w:type="pct"/>
            <w:gridSpan w:val="2"/>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Варианты сценариев</w:t>
            </w:r>
          </w:p>
        </w:tc>
      </w:tr>
      <w:tr w:rsidR="003D4946" w:rsidRPr="003D4946" w:rsidTr="003D4946">
        <w:trPr>
          <w:trHeight w:val="20"/>
          <w:tblHeader/>
          <w:jc w:val="center"/>
        </w:trPr>
        <w:tc>
          <w:tcPr>
            <w:tcW w:w="2047" w:type="pct"/>
            <w:vMerge/>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Инерционный</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Стабилизационный</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Первая очередь (2020 г.) </w:t>
            </w:r>
            <w:r w:rsidRPr="003D4946">
              <w:rPr>
                <w:rFonts w:ascii="Times New Roman" w:hAnsi="Times New Roman" w:cs="Times New Roman"/>
                <w:sz w:val="24"/>
                <w:szCs w:val="24"/>
              </w:rPr>
              <w:t>при численности населения 8,8 тыс. чел., убывающем жилищном фонде 15,0 тыс. м</w:t>
            </w:r>
            <w:r w:rsidRPr="003D4946">
              <w:rPr>
                <w:rFonts w:ascii="Times New Roman" w:hAnsi="Times New Roman" w:cs="Times New Roman"/>
                <w:sz w:val="24"/>
                <w:szCs w:val="24"/>
                <w:vertAlign w:val="superscript"/>
              </w:rPr>
              <w:t xml:space="preserve">2 </w:t>
            </w:r>
            <w:r w:rsidRPr="003D4946">
              <w:rPr>
                <w:rFonts w:ascii="Times New Roman" w:hAnsi="Times New Roman" w:cs="Times New Roman"/>
                <w:sz w:val="24"/>
                <w:szCs w:val="24"/>
              </w:rPr>
              <w:t>и сохраняемом 349,1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40</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41,5</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Требуемый, тыс. м</w:t>
            </w:r>
            <w:r w:rsidRPr="003D4946">
              <w:rPr>
                <w:rFonts w:ascii="Times New Roman" w:hAnsi="Times New Roman" w:cs="Times New Roman"/>
                <w:sz w:val="24"/>
                <w:szCs w:val="24"/>
                <w:vertAlign w:val="superscript"/>
              </w:rPr>
              <w:t>2</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352</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365,2</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Новое строительство, тыс.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в 2011-2020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16,1</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среднем за год </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0,04</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0,20</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b/>
                <w:sz w:val="24"/>
                <w:szCs w:val="24"/>
              </w:rPr>
              <w:t xml:space="preserve">Расчетный срок (2035 г.) </w:t>
            </w:r>
            <w:r w:rsidRPr="003D4946">
              <w:rPr>
                <w:rFonts w:ascii="Times New Roman" w:hAnsi="Times New Roman" w:cs="Times New Roman"/>
                <w:sz w:val="24"/>
                <w:szCs w:val="24"/>
              </w:rPr>
              <w:t>при численности населения 7,5 тыс. чел., убывающем жилищном фонде 26 тыс. м</w:t>
            </w:r>
            <w:r w:rsidRPr="003D4946">
              <w:rPr>
                <w:rFonts w:ascii="Times New Roman" w:hAnsi="Times New Roman" w:cs="Times New Roman"/>
                <w:sz w:val="24"/>
                <w:szCs w:val="24"/>
                <w:vertAlign w:val="superscript"/>
              </w:rPr>
              <w:t xml:space="preserve">2 </w:t>
            </w:r>
            <w:r w:rsidRPr="003D4946">
              <w:rPr>
                <w:rFonts w:ascii="Times New Roman" w:hAnsi="Times New Roman" w:cs="Times New Roman"/>
                <w:sz w:val="24"/>
                <w:szCs w:val="24"/>
              </w:rPr>
              <w:t>и сохраняемом338,1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46</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Требуемый, тыс. м</w:t>
            </w:r>
            <w:r w:rsidRPr="003D4946">
              <w:rPr>
                <w:rFonts w:ascii="Times New Roman" w:hAnsi="Times New Roman" w:cs="Times New Roman"/>
                <w:sz w:val="24"/>
                <w:szCs w:val="24"/>
                <w:vertAlign w:val="superscript"/>
              </w:rPr>
              <w:t>2</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345</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367,5</w:t>
            </w:r>
          </w:p>
        </w:tc>
      </w:tr>
      <w:tr w:rsidR="003D4946" w:rsidRPr="003D4946" w:rsidTr="003D4946">
        <w:trPr>
          <w:trHeight w:val="20"/>
          <w:jc w:val="center"/>
        </w:trPr>
        <w:tc>
          <w:tcPr>
            <w:tcW w:w="5000" w:type="pct"/>
            <w:gridSpan w:val="3"/>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Новое строительство, тыс. м</w:t>
            </w:r>
            <w:r w:rsidRPr="003D4946">
              <w:rPr>
                <w:rFonts w:ascii="Times New Roman" w:hAnsi="Times New Roman" w:cs="Times New Roman"/>
                <w:sz w:val="24"/>
                <w:szCs w:val="24"/>
                <w:vertAlign w:val="superscript"/>
              </w:rPr>
              <w:t>2</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2011-2035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29,4</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среднем за год в 2011-2035 гг.</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0,49</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2,10</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0,07</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0,28</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2020-2035 гг.- всего</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13,3</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среднем за год в 2020-2035 гг.</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0,9</w:t>
            </w:r>
          </w:p>
        </w:tc>
      </w:tr>
      <w:tr w:rsidR="003D4946" w:rsidRPr="003D4946" w:rsidTr="003D4946">
        <w:trPr>
          <w:trHeight w:val="20"/>
          <w:jc w:val="center"/>
        </w:trPr>
        <w:tc>
          <w:tcPr>
            <w:tcW w:w="2047"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душу населения, м</w:t>
            </w:r>
            <w:r w:rsidRPr="003D4946">
              <w:rPr>
                <w:rFonts w:ascii="Times New Roman" w:hAnsi="Times New Roman" w:cs="Times New Roman"/>
                <w:sz w:val="24"/>
                <w:szCs w:val="24"/>
                <w:vertAlign w:val="superscript"/>
              </w:rPr>
              <w:t>2</w:t>
            </w:r>
            <w:r w:rsidRPr="003D4946">
              <w:rPr>
                <w:rFonts w:ascii="Times New Roman" w:hAnsi="Times New Roman" w:cs="Times New Roman"/>
                <w:sz w:val="24"/>
                <w:szCs w:val="24"/>
              </w:rPr>
              <w:t>/чел. в год</w:t>
            </w:r>
          </w:p>
        </w:tc>
        <w:tc>
          <w:tcPr>
            <w:tcW w:w="1540"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0,03</w:t>
            </w:r>
          </w:p>
        </w:tc>
        <w:tc>
          <w:tcPr>
            <w:tcW w:w="1412" w:type="pct"/>
            <w:shd w:val="clear" w:color="auto" w:fill="auto"/>
            <w:noWrap/>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0,10</w:t>
            </w:r>
          </w:p>
        </w:tc>
      </w:tr>
    </w:tbl>
    <w:p w:rsidR="003D4946" w:rsidRPr="003D4946" w:rsidRDefault="003D4946" w:rsidP="00216875">
      <w:pPr>
        <w:spacing w:after="0" w:line="240" w:lineRule="auto"/>
        <w:jc w:val="both"/>
        <w:rPr>
          <w:rFonts w:ascii="Times New Roman" w:hAnsi="Times New Roman" w:cs="Times New Roman"/>
          <w:sz w:val="24"/>
          <w:szCs w:val="24"/>
        </w:rPr>
      </w:pPr>
    </w:p>
    <w:bookmarkEnd w:id="64"/>
    <w:bookmarkEnd w:id="65"/>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Часть жилищного строительства будет происходить в пределах черты населенных пунктов, на месте ветхого и аварийного жилья, потребность в расширении границ в этом случае не потребуется. В случае необходимости может потребоваться перевод земель из других категорий в категорию «земли населенных пунктов». В соответствии с законом от 6.10.2003 г. № 131-ФЗ «Об общих принципах организации местного самоуправления в Российской Федерации» вопросы планирования застройки территории отнесены к вопросам местного значения поселения и, следовательно, должны разрабатываться именно в генеральных планах поселений. Схема территориального планирования муниципального района может лишь высказывать наиболее общие предложения по возможному размещению новой застройки, но в строгом юридическом смысле не вправе выносить эти предложения на утверждение.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Под застройку могут предлагаться преимущественно неиспользуемые в агропроизводстве, но наиболее ценные, в рекреационном отношении территории. Такое планировочное решение позволит максимально использовать потенциал пустующих территорий, создаст предпосылки для развития экономики района.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соответствии с Земельным кодексом Российской Федерации дачное строительство может осуществляться на землях сельскохозяйственного назначения. В соответствии со статьей 8 на территории Псковской области отнесение земель к категориям, перевод их из одной категории в другую в отношении земель, находящихся в собственности Псковской области и земель сельскохозяйственного назначения, находящихся в муниципальной собственности, осуществляется органами исполнительной власти Псковской области. Перевод земель, находящихся в муниципальной собственности, за исключением земель сельскохозяйственного назначения, осуществляется органами местного самоуправления. Перевод земель, находящихся в частной собственности, если это земли сельскохозяйственного назначения, осуществляется органами исполнительной власти Псковской области, если это земли иного целевого назначения - органами местного самоуправления.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Современные дачные дома представляют собой капитальные сооружения. Поэтому по мере выполнения проектирования дачных поселков и соответствующей подготовки территории под индивидуальное дачное строительство целесообразно предусматривать возможность перевода земель в категорию земли населенных пунктов с расширением населенных пунктов, к существующим границам которых примыкают дачные поселки.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Развитие транспортной и инженерной инфраструктуры района также потребует перевода земель различных категорий в соответствующие подкатегории земель промышленности </w:t>
      </w:r>
      <w:r w:rsidRPr="003D4946">
        <w:rPr>
          <w:rFonts w:ascii="Times New Roman" w:hAnsi="Times New Roman" w:cs="Times New Roman"/>
          <w:sz w:val="24"/>
          <w:szCs w:val="24"/>
        </w:rPr>
        <w:lastRenderedPageBreak/>
        <w:t>и иного специального назначения. Границы соответствующих земельных участков должны уточняться в ходе проектирования указанных объектов.</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Перевод земель должен осуществляться в строгом соответствии с действующим на соответствующий момент времени установленным Земельным кодексом Российской Федерации и другими федеральными законами порядком перевода земель из одной категории в другую.</w:t>
      </w:r>
    </w:p>
    <w:p w:rsidR="003D4946" w:rsidRPr="003D4946" w:rsidRDefault="003D4946" w:rsidP="00216875">
      <w:pPr>
        <w:spacing w:after="0" w:line="240" w:lineRule="auto"/>
        <w:jc w:val="both"/>
        <w:rPr>
          <w:rFonts w:ascii="Times New Roman" w:hAnsi="Times New Roman" w:cs="Times New Roman"/>
          <w:sz w:val="24"/>
          <w:szCs w:val="24"/>
        </w:rPr>
      </w:pPr>
      <w:bookmarkStart w:id="66" w:name="_Toc227763226"/>
      <w:bookmarkEnd w:id="54"/>
      <w:bookmarkEnd w:id="55"/>
      <w:r w:rsidRPr="003D4946">
        <w:rPr>
          <w:rFonts w:ascii="Times New Roman" w:hAnsi="Times New Roman" w:cs="Times New Roman"/>
          <w:sz w:val="24"/>
          <w:szCs w:val="24"/>
        </w:rPr>
        <w:t>Программы и проекты на территории Новоржевского района Псковской области по развитию в сфере экономического развития и инвестиционной политики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1) Стратегия социально-экономического развития муниципального образования «Новоржевский район» на период до 2030 года, утвержденная решением Собрания депутатов Новоржевского района от 31.03.2022 № 9.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 План мероприятий по реализации Стратегии социально-экономического развития муниципального образования «Новоржевский район» на период до 2030 года, утвержденный постановлением Администрации Новоржевского района от 27.11.2020 № 117.</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 Муниципальная программа «Разработка схемы территориального планирования Новоржевского района и генеральных планов муниципальных образований (поселений) Новоржевского района на 2020-2024 годы», утвержденная постановлением Администрации Новоржевского района от 25.02.2020 № 19.</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i/>
          <w:sz w:val="24"/>
          <w:szCs w:val="24"/>
        </w:rPr>
      </w:pPr>
      <w:bookmarkStart w:id="67" w:name="_Toc216434246"/>
      <w:r w:rsidRPr="003D4946">
        <w:rPr>
          <w:rFonts w:ascii="Times New Roman" w:hAnsi="Times New Roman" w:cs="Times New Roman"/>
          <w:b/>
          <w:bCs/>
          <w:i/>
          <w:sz w:val="24"/>
          <w:szCs w:val="24"/>
        </w:rPr>
        <w:t>3.6. Экономическое развитие</w:t>
      </w:r>
      <w:bookmarkEnd w:id="67"/>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Экономический потенциал территории включает несколько основных факторов: экономико-географическое положение, обеспеченность природными ресурсами, промышленный потенциал, трудовой и научно-технический потенциал. В совокупности эти составляющие экономического потенциала отражают способность экономики, её отраслей, предприятий, хозяйств осуществлять производственно-экономическую деятельность, выпускать продукцию, товары, услуги, удовлетворять запросы населения, общественные потребности, обеспечивать развитие производства и потребления.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Специфика социально-экономического развития Новоржевского района обусловлена следующими факторами: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Природно-географические условия способствуют развитию таких видов деятельности, как рекреация, охрана окружающей среды и сельскохозяйственное производство.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относится к числу сельских районов. В основе экономического потенциала района – использование местных ресурсов: развитие сельского хозяйства и лесопереработки.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Внешние связи района обеспечиваются автомобильным транспортом. Через город проходит автодорога 58 ОП РЗ 58К-019 Пушкинские Горы - Локня.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Наличие большого количества малонаселенных деревень и слабая транспортная связь поселений между собой и с районным центром.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Район находится вцентральной части Псковской области, в 144 км к юго-востоку от города Пскова, и примерно на таком же расстоянии от г. Великие Луки. Относительная удаленность от железных дорог, как ограничивающий фактор промышленного развития;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Наличие привлекательных природных условий (побережье озер, живописные ландшафты, особенно, в северной части района) и ресурсов для развития туристско-рекреационной индустрии, близость от развитого туристского центра - Пушкинских гор.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21 - Индекс производства продукции сельского хозяйства (в сопоставимых ценах; в процентах к предыдущему году)</w:t>
      </w:r>
    </w:p>
    <w:tbl>
      <w:tblPr>
        <w:tblW w:w="5000" w:type="pct"/>
        <w:jc w:val="center"/>
        <w:tblLook w:val="04A0" w:firstRow="1" w:lastRow="0" w:firstColumn="1" w:lastColumn="0" w:noHBand="0" w:noVBand="1"/>
      </w:tblPr>
      <w:tblGrid>
        <w:gridCol w:w="3262"/>
        <w:gridCol w:w="1760"/>
        <w:gridCol w:w="1469"/>
        <w:gridCol w:w="1469"/>
        <w:gridCol w:w="1469"/>
      </w:tblGrid>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101</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 xml:space="preserve">Сельскохозяйственные </w:t>
            </w:r>
            <w:r w:rsidRPr="003D4946">
              <w:rPr>
                <w:rFonts w:ascii="Times New Roman" w:hAnsi="Times New Roman" w:cs="Times New Roman"/>
                <w:sz w:val="24"/>
                <w:szCs w:val="24"/>
                <w:lang w:val="en-US"/>
              </w:rPr>
              <w:lastRenderedPageBreak/>
              <w:t>организации (все сельхозорганизации)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lastRenderedPageBreak/>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96.7</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102.8</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103.6</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lastRenderedPageBreak/>
              <w:t>Хозяйства населения (граждане)</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94.2</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r>
      <w:tr w:rsidR="003D4946" w:rsidRPr="003D4946" w:rsidTr="003D4946">
        <w:trPr>
          <w:trHeight w:val="23"/>
          <w:jc w:val="center"/>
        </w:trPr>
        <w:tc>
          <w:tcPr>
            <w:tcW w:w="172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933"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118.5</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92.5</w:t>
            </w:r>
          </w:p>
        </w:tc>
        <w:tc>
          <w:tcPr>
            <w:tcW w:w="77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120.2</w:t>
            </w:r>
          </w:p>
        </w:tc>
      </w:tr>
    </w:tbl>
    <w:p w:rsidR="003D4946" w:rsidRPr="003D4946" w:rsidRDefault="003D4946" w:rsidP="00216875">
      <w:pPr>
        <w:spacing w:after="0" w:line="240" w:lineRule="auto"/>
        <w:jc w:val="both"/>
        <w:rPr>
          <w:rFonts w:ascii="Times New Roman" w:hAnsi="Times New Roman" w:cs="Times New Roman"/>
          <w:sz w:val="24"/>
          <w:szCs w:val="24"/>
          <w:lang w:val="en-US"/>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Основными производителями сельскохозяйственной продукции являются сельскохозяйственные предприятия, крестьянские (фермерские) хозяйства и личные подсобные хозяйства. </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22 - Перечень основных землепользователей, расположенных на территории муниципального образования (крестьянские фермерские хозяйства, производственные предприятия, карьеры и проч.), с указанием местоположения и установленных СЗЗ</w:t>
      </w:r>
    </w:p>
    <w:tbl>
      <w:tblPr>
        <w:tblW w:w="5000" w:type="pct"/>
        <w:jc w:val="center"/>
        <w:tblCellMar>
          <w:left w:w="149" w:type="dxa"/>
          <w:right w:w="149" w:type="dxa"/>
        </w:tblCellMar>
        <w:tblLook w:val="04A0" w:firstRow="1" w:lastRow="0" w:firstColumn="1" w:lastColumn="0" w:noHBand="0" w:noVBand="1"/>
      </w:tblPr>
      <w:tblGrid>
        <w:gridCol w:w="555"/>
        <w:gridCol w:w="2076"/>
        <w:gridCol w:w="2080"/>
        <w:gridCol w:w="1601"/>
        <w:gridCol w:w="1680"/>
        <w:gridCol w:w="1519"/>
      </w:tblGrid>
      <w:tr w:rsidR="003D4946" w:rsidRPr="003D4946" w:rsidTr="003D4946">
        <w:trPr>
          <w:trHeight w:val="23"/>
          <w:tblHeader/>
          <w:jc w:val="center"/>
        </w:trPr>
        <w:tc>
          <w:tcPr>
            <w:tcW w:w="3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 </w:t>
            </w:r>
            <w:r w:rsidRPr="003D4946">
              <w:rPr>
                <w:rFonts w:ascii="Times New Roman" w:hAnsi="Times New Roman" w:cs="Times New Roman"/>
                <w:b/>
                <w:sz w:val="24"/>
                <w:szCs w:val="24"/>
              </w:rPr>
              <w:br/>
              <w:t>п/п</w:t>
            </w:r>
          </w:p>
        </w:tc>
        <w:tc>
          <w:tcPr>
            <w:tcW w:w="1084"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Назначение объекта</w:t>
            </w:r>
          </w:p>
        </w:tc>
        <w:tc>
          <w:tcPr>
            <w:tcW w:w="10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 объекта</w:t>
            </w:r>
          </w:p>
        </w:tc>
        <w:tc>
          <w:tcPr>
            <w:tcW w:w="8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Краткая характеристика объекта, в том числе протяженность (км)</w:t>
            </w:r>
          </w:p>
        </w:tc>
        <w:tc>
          <w:tcPr>
            <w:tcW w:w="8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Местоположение планируемого объекта</w:t>
            </w:r>
          </w:p>
        </w:tc>
        <w:tc>
          <w:tcPr>
            <w:tcW w:w="799"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Зоны с особыми условиями использования территории</w:t>
            </w:r>
          </w:p>
        </w:tc>
      </w:tr>
      <w:tr w:rsidR="003D4946" w:rsidRPr="003D4946" w:rsidTr="003D4946">
        <w:trPr>
          <w:trHeight w:val="23"/>
          <w:jc w:val="center"/>
        </w:trPr>
        <w:tc>
          <w:tcPr>
            <w:tcW w:w="30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1084"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bookmarkStart w:id="68" w:name="__DdeLink__3973_2969426298"/>
            <w:r w:rsidRPr="003D4946">
              <w:rPr>
                <w:rFonts w:ascii="Times New Roman" w:hAnsi="Times New Roman" w:cs="Times New Roman"/>
                <w:sz w:val="24"/>
                <w:szCs w:val="24"/>
              </w:rPr>
              <w:t>Объект сельскохозяйственного назначения</w:t>
            </w:r>
            <w:bookmarkEnd w:id="68"/>
          </w:p>
        </w:tc>
        <w:tc>
          <w:tcPr>
            <w:tcW w:w="1086"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«Выбор"</w:t>
            </w:r>
          </w:p>
        </w:tc>
        <w:tc>
          <w:tcPr>
            <w:tcW w:w="84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д.Выбор</w:t>
            </w:r>
          </w:p>
        </w:tc>
        <w:tc>
          <w:tcPr>
            <w:tcW w:w="799" w:type="pct"/>
            <w:tcBorders>
              <w:top w:val="single" w:sz="6" w:space="0" w:color="000000"/>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«Заря"</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д.Дубровы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«Жадрицы"</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д.Жадрицы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«Вехно»</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д.Вехно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«СХК НОВОРЖЕВСКИЙ»</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д.Барута</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фермерское хозяйство Гальдикене Вера </w:t>
            </w:r>
            <w:r w:rsidRPr="003D4946">
              <w:rPr>
                <w:rFonts w:ascii="Times New Roman" w:hAnsi="Times New Roman" w:cs="Times New Roman"/>
                <w:sz w:val="24"/>
                <w:szCs w:val="24"/>
              </w:rPr>
              <w:lastRenderedPageBreak/>
              <w:t>Анатольевна</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д.Волчицкое</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7.</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фермерское хозяйство Гапизова Зарина Саидовна </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д.Волчицкое</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Афанасьев Вадим Григорьевич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д.Жадрицы</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Гасанов Телман Юсиф о.</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д.Березовец</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Филиппов Иван Николаевич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д.Иваньково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Безменов Роман Александрович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д.Мосеево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r w:rsidR="003D4946" w:rsidRPr="003D4946" w:rsidTr="003D4946">
        <w:trPr>
          <w:trHeight w:val="23"/>
          <w:jc w:val="center"/>
        </w:trPr>
        <w:tc>
          <w:tcPr>
            <w:tcW w:w="307"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w:t>
            </w:r>
          </w:p>
        </w:tc>
        <w:tc>
          <w:tcPr>
            <w:tcW w:w="1084"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Объект сельскохозяйственного назначения</w:t>
            </w:r>
          </w:p>
        </w:tc>
        <w:tc>
          <w:tcPr>
            <w:tcW w:w="1086"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Крестьянское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фермерское хозяйство Васильев Михаил Александрович</w:t>
            </w:r>
          </w:p>
        </w:tc>
        <w:tc>
          <w:tcPr>
            <w:tcW w:w="84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82"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д.Вишлево</w:t>
            </w:r>
          </w:p>
        </w:tc>
        <w:tc>
          <w:tcPr>
            <w:tcW w:w="799" w:type="pct"/>
            <w:tcBorders>
              <w:left w:val="single" w:sz="6" w:space="0" w:color="000000"/>
              <w:bottom w:val="single" w:sz="6" w:space="0" w:color="000000"/>
              <w:right w:val="single" w:sz="6" w:space="0" w:color="000000"/>
            </w:tcBorders>
            <w:shd w:val="clear" w:color="auto" w:fill="auto"/>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r>
    </w:tbl>
    <w:p w:rsidR="003D4946" w:rsidRPr="003D4946" w:rsidRDefault="003D4946" w:rsidP="00216875">
      <w:pPr>
        <w:spacing w:after="0" w:line="240" w:lineRule="auto"/>
        <w:jc w:val="both"/>
        <w:rPr>
          <w:rFonts w:ascii="Times New Roman" w:hAnsi="Times New Roman" w:cs="Times New Roman"/>
          <w:b/>
          <w:bCs/>
          <w:sz w:val="24"/>
          <w:szCs w:val="24"/>
          <w:lang w:val="en-US"/>
        </w:rPr>
      </w:pPr>
    </w:p>
    <w:p w:rsidR="003D4946" w:rsidRPr="003D4946" w:rsidRDefault="003D4946" w:rsidP="00216875">
      <w:pPr>
        <w:spacing w:after="0" w:line="240" w:lineRule="auto"/>
        <w:jc w:val="center"/>
        <w:rPr>
          <w:rFonts w:ascii="Times New Roman" w:hAnsi="Times New Roman" w:cs="Times New Roman"/>
          <w:b/>
          <w:bCs/>
          <w:sz w:val="24"/>
          <w:szCs w:val="24"/>
        </w:rPr>
      </w:pPr>
      <w:bookmarkStart w:id="69" w:name="_Toc216434247"/>
      <w:r w:rsidRPr="003D4946">
        <w:rPr>
          <w:rFonts w:ascii="Times New Roman" w:hAnsi="Times New Roman" w:cs="Times New Roman"/>
          <w:b/>
          <w:bCs/>
          <w:sz w:val="24"/>
          <w:szCs w:val="24"/>
        </w:rPr>
        <w:t>3.6.1. Агро-промышленный комплекс</w:t>
      </w:r>
      <w:bookmarkEnd w:id="69"/>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Растениеводство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Новоржевский район расположен в центральной части Псковской области. Его территория находится в зоне рискованного земледелия. Общая площадь района составляет 1,68 тыс. км</w:t>
      </w:r>
      <w:r w:rsidRPr="003D4946">
        <w:rPr>
          <w:rFonts w:ascii="Times New Roman" w:hAnsi="Times New Roman" w:cs="Times New Roman"/>
          <w:iCs/>
          <w:sz w:val="24"/>
          <w:szCs w:val="24"/>
          <w:vertAlign w:val="superscript"/>
        </w:rPr>
        <w:t>2</w:t>
      </w:r>
      <w:r w:rsidRPr="003D4946">
        <w:rPr>
          <w:rFonts w:ascii="Times New Roman" w:hAnsi="Times New Roman" w:cs="Times New Roman"/>
          <w:iCs/>
          <w:sz w:val="24"/>
          <w:szCs w:val="24"/>
        </w:rPr>
        <w:t xml:space="preserve">. </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По специализации сельскохозяйственного производства район входит во вторую зону из семи зон Псковской области. Основное направление в этой зоне в перспективе может быть как молочно-мясное, так и картофеле-зерно-льноводческое. </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настоящее время сельскохозяйственное производство здесь слабо развито из-за недостатка трудовых ресурсов, низкого плодородия почв и диспаритета цен на сельскохозяйственную продукцию.</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lastRenderedPageBreak/>
        <w:t>Агроклиматические условия на территории района являются благоприятными для возделывания зерновых культур на фураж, многолетних трав, пропашных и технических культур.</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Почвенный покров на территории района представлен низкоплодородными дерново-подзолистыми, болотно-подзолистыми и торфяно-болотными почвами, требующими известкования и внесения удобрений в значительных объемах. Вследствие экстенсивного ведения сельского хозяйства в районе площади естественных лугов интенсивно сокращаются из-за их зарастания древесно-кустарниковой растительностью.</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В настоящее время посевная площадь в районе составляет около 30 % от площади пашни, что указывает на низкую эффективность использования пашни и возможность расширения площади посевов. </w:t>
      </w:r>
    </w:p>
    <w:p w:rsidR="003D4946" w:rsidRPr="003D4946" w:rsidRDefault="003D4946" w:rsidP="00216875">
      <w:pPr>
        <w:spacing w:after="0" w:line="240" w:lineRule="auto"/>
        <w:jc w:val="both"/>
        <w:rPr>
          <w:rFonts w:ascii="Times New Roman" w:hAnsi="Times New Roman" w:cs="Times New Roman"/>
          <w:iCs/>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23 - Индекс производства продукции растениеводства (в сопоставимых ценах; в процентах к предыдущему году)</w:t>
      </w:r>
    </w:p>
    <w:tbl>
      <w:tblPr>
        <w:tblW w:w="5000" w:type="pct"/>
        <w:jc w:val="center"/>
        <w:tblLook w:val="04A0" w:firstRow="1" w:lastRow="0" w:firstColumn="1" w:lastColumn="0" w:noHBand="0" w:noVBand="1"/>
      </w:tblPr>
      <w:tblGrid>
        <w:gridCol w:w="5170"/>
        <w:gridCol w:w="1648"/>
        <w:gridCol w:w="849"/>
        <w:gridCol w:w="866"/>
        <w:gridCol w:w="896"/>
      </w:tblGrid>
      <w:tr w:rsidR="003D4946" w:rsidRPr="003D4946" w:rsidTr="003D4946">
        <w:trPr>
          <w:trHeight w:val="23"/>
          <w:tblHeader/>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105.2</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100.7</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99.5</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Сельскохозяйственные организации (все сельхозорганизации)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102.4</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112.8</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109.2</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населения (граждане)</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105.5</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96.6</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95.1</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124.9</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87.5</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83.8</w:t>
            </w:r>
          </w:p>
        </w:tc>
      </w:tr>
    </w:tbl>
    <w:p w:rsidR="003D4946" w:rsidRPr="003D4946" w:rsidRDefault="003D4946" w:rsidP="00216875">
      <w:pPr>
        <w:spacing w:after="0" w:line="240" w:lineRule="auto"/>
        <w:jc w:val="both"/>
        <w:rPr>
          <w:rFonts w:ascii="Times New Roman" w:hAnsi="Times New Roman" w:cs="Times New Roman"/>
          <w:iCs/>
          <w:sz w:val="24"/>
          <w:szCs w:val="24"/>
        </w:rPr>
      </w:pP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Все посевные площади сельскохозяйственных культур хозяйств всех категорий по данным Федеральной службы государственной статистики в 2021 году составили 10716,1 га. Культуры, выращиваемые на территории муниципального района: пшеница, рожь, тритикале, ячмень, овес, горох. картофель, капуста, огурцы, помидоры, свекла, морковь, лук, чеснок. Кроме того, для заготовки кормового сена и на зеленый корм выращивают однолетние и многолетние травы.</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Посевная площадь в районе составляет около 30 % от площади пашни, что характеризует низкую эффективность использования пашни.</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С каждым годом в районе снижаются посевные площади по всем сельскохозяйственным культурам. </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Урожайность зерновых культур в районе остаётся низкой, за последние три года она не превышала 13,5 ц/га. Урожайность картофеля по годам неустойчивая, от 122 ц/га до – 239 ц/га.</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xml:space="preserve">По всем категориям хозяйств из-за значительного сокращения посевных площадей в районе валовое производство зерновых по сравнению с предыдущим периодом действия СТП уменьшилось в 3 раза. Производство картофеля и овощей в последние годы оставалось стабильно низким. В основном эти культуры возделывают личные подсобные хозяйства. </w:t>
      </w:r>
    </w:p>
    <w:p w:rsidR="003D4946" w:rsidRPr="003D4946" w:rsidRDefault="003D4946" w:rsidP="00216875">
      <w:pPr>
        <w:spacing w:after="0" w:line="240" w:lineRule="auto"/>
        <w:jc w:val="both"/>
        <w:rPr>
          <w:rFonts w:ascii="Times New Roman" w:hAnsi="Times New Roman" w:cs="Times New Roman"/>
          <w:iCs/>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Животноводство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В районе имеются возможности обеспечения скота кормами, что способствует увеличению поголовья скота. Для обеспечения кормами 1 усл. головы КРС требуется от 1 до 2 га луговых угодий в зависимости от их продуктивности. На территории района площадь лугов составляет около 30 тыс.га. Данные расчетов показывают, что для увеличения поголовья скота имеются значительные резервы кормовой базы. В перспективе численность поголовья скота можно увеличить с 3 тыс. голов (2010 г.) до 10 тыс. голов и более.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iCs/>
          <w:sz w:val="24"/>
          <w:szCs w:val="24"/>
        </w:rPr>
        <w:t xml:space="preserve">Несмотря на то, что </w:t>
      </w:r>
      <w:r w:rsidRPr="003D4946">
        <w:rPr>
          <w:rFonts w:ascii="Times New Roman" w:hAnsi="Times New Roman" w:cs="Times New Roman"/>
          <w:sz w:val="24"/>
          <w:szCs w:val="24"/>
        </w:rPr>
        <w:t xml:space="preserve">в настоящее время сельскохозяйственные производители полностью обеспечивают население района молоком, мясом и картофелем, необходимо наращивать </w:t>
      </w:r>
      <w:r w:rsidRPr="003D4946">
        <w:rPr>
          <w:rFonts w:ascii="Times New Roman" w:hAnsi="Times New Roman" w:cs="Times New Roman"/>
          <w:sz w:val="24"/>
          <w:szCs w:val="24"/>
        </w:rPr>
        <w:lastRenderedPageBreak/>
        <w:t>производство объемов этих видов продукции для обеспечения населения других районов и городов области, а также г. Санкт-Петербурга и Москвы отечественной продукцией.</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sz w:val="24"/>
          <w:szCs w:val="24"/>
        </w:rPr>
        <w:t>Недостаточно производится в районе яиц и овощей.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На момент разработки Проекта население района составляет 7,3 тыс. чел. Для самообеспечения данной численности населения продуктами питания необходимо производить не менее 560 т мяса, 2900 т молока, 2200 тыс. шт. яиц, 440 т картофеля, 570 т овощей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Сельскохозяйственная освоенность территории Новоржевского райо</w:t>
      </w:r>
      <w:r w:rsidRPr="003D4946">
        <w:rPr>
          <w:rFonts w:ascii="Times New Roman" w:hAnsi="Times New Roman" w:cs="Times New Roman"/>
          <w:sz w:val="24"/>
          <w:szCs w:val="24"/>
        </w:rPr>
        <w:softHyphen/>
        <w:t>на высокая, но условия для ведения сельского хозяйства доста</w:t>
      </w:r>
      <w:r w:rsidRPr="003D4946">
        <w:rPr>
          <w:rFonts w:ascii="Times New Roman" w:hAnsi="Times New Roman" w:cs="Times New Roman"/>
          <w:sz w:val="24"/>
          <w:szCs w:val="24"/>
        </w:rPr>
        <w:softHyphen/>
        <w:t>точно сложные. Значительная часть полей мелкоконтурна и завалунена. Холмистый рельеф является причиной весьма значительного раз</w:t>
      </w:r>
      <w:r w:rsidRPr="003D4946">
        <w:rPr>
          <w:rFonts w:ascii="Times New Roman" w:hAnsi="Times New Roman" w:cs="Times New Roman"/>
          <w:sz w:val="24"/>
          <w:szCs w:val="24"/>
        </w:rPr>
        <w:softHyphen/>
        <w:t xml:space="preserve">вития водной эрозии.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целом качество сельскохозяйственных земель Новоржевского района несколько ниже среднеобластных показателей (пашня – 22,2 балла, все сельскохозяйственные угодья – 16,7 баллов). Большинство хозяйств получает весьма низкие урожаи.</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24 - Индекс производства продукции животноводства (в сопоставимых ценах; в процентах к предыдущему году)</w:t>
      </w:r>
    </w:p>
    <w:tbl>
      <w:tblPr>
        <w:tblW w:w="5000" w:type="pct"/>
        <w:jc w:val="center"/>
        <w:tblLook w:val="04A0" w:firstRow="1" w:lastRow="0" w:firstColumn="1" w:lastColumn="0" w:noHBand="0" w:noVBand="1"/>
      </w:tblPr>
      <w:tblGrid>
        <w:gridCol w:w="5170"/>
        <w:gridCol w:w="1648"/>
        <w:gridCol w:w="849"/>
        <w:gridCol w:w="866"/>
        <w:gridCol w:w="896"/>
      </w:tblGrid>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Показатели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Ед.изм.</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2019</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2020</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всех категорий</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96.8</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101.5</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Сельскохозяйственные организации (все сельхозорганизации)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95.9</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100.7</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102.2</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Хозяйства населения (граждане)</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94.7</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92.4</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97.6</w:t>
            </w:r>
          </w:p>
        </w:tc>
      </w:tr>
      <w:tr w:rsidR="003D4946" w:rsidRPr="003D4946" w:rsidTr="003D4946">
        <w:trPr>
          <w:trHeight w:val="23"/>
          <w:jc w:val="center"/>
        </w:trPr>
        <w:tc>
          <w:tcPr>
            <w:tcW w:w="2742"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Крестьянские (фермерские) хозяйства и индивидуальные предприниматели</w:t>
            </w:r>
          </w:p>
        </w:tc>
        <w:tc>
          <w:tcPr>
            <w:tcW w:w="874"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процент</w:t>
            </w:r>
          </w:p>
        </w:tc>
        <w:tc>
          <w:tcPr>
            <w:tcW w:w="450"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117.8</w:t>
            </w:r>
          </w:p>
        </w:tc>
        <w:tc>
          <w:tcPr>
            <w:tcW w:w="45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93.2</w:t>
            </w:r>
          </w:p>
        </w:tc>
        <w:tc>
          <w:tcPr>
            <w:tcW w:w="47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124</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районе наблюдается ежегодное снижение поголовья крупного рогатого скота. Только с 2018 по 2021 г. поголовье крупного рогатого скота в районе сократилось с 3419 до 3124 голов (на 9 %).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сельхозпредприятиях содержится 24 % крупного рогатого скота и 62 % коров от общего поголовья в районе. В хозяйствах населения содержится всё поголовье свиней (100 %), овец и коз (100 %), а также вся имеющаяся в районе птица.</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25 - Производство продуктов животноводства в хозяйствах всех категорий (яйца - тысяча штук)</w:t>
      </w:r>
    </w:p>
    <w:tbl>
      <w:tblPr>
        <w:tblW w:w="5000" w:type="pct"/>
        <w:jc w:val="center"/>
        <w:tblLook w:val="04A0" w:firstRow="1" w:lastRow="0" w:firstColumn="1" w:lastColumn="0" w:noHBand="0" w:noVBand="1"/>
      </w:tblPr>
      <w:tblGrid>
        <w:gridCol w:w="2162"/>
        <w:gridCol w:w="1699"/>
        <w:gridCol w:w="1392"/>
        <w:gridCol w:w="1392"/>
        <w:gridCol w:w="1392"/>
        <w:gridCol w:w="1392"/>
      </w:tblGrid>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Показатели</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Ед.изм.</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2018</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2019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lang w:val="en-US"/>
              </w:rPr>
            </w:pPr>
            <w:r w:rsidRPr="003D4946">
              <w:rPr>
                <w:rFonts w:ascii="Times New Roman" w:hAnsi="Times New Roman" w:cs="Times New Roman"/>
                <w:b/>
                <w:bCs/>
                <w:sz w:val="24"/>
                <w:szCs w:val="24"/>
              </w:rPr>
              <w:t>2020</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2021</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Скот и птица на убой (в живом весе)</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467</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406</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471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394</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Молоко</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6179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6187</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6201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5944</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Яйца, тысяча штук</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1900</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1863</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1829</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1779</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Шерсть</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0,9</w:t>
            </w:r>
          </w:p>
        </w:tc>
      </w:tr>
      <w:tr w:rsidR="003D4946" w:rsidRPr="003D4946" w:rsidTr="003D4946">
        <w:trPr>
          <w:trHeight w:val="23"/>
          <w:jc w:val="center"/>
        </w:trPr>
        <w:tc>
          <w:tcPr>
            <w:tcW w:w="1147"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Мед</w:t>
            </w:r>
          </w:p>
        </w:tc>
        <w:tc>
          <w:tcPr>
            <w:tcW w:w="90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тонн</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5,4</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3,8</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w:t>
            </w:r>
          </w:p>
        </w:tc>
        <w:tc>
          <w:tcPr>
            <w:tcW w:w="738"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4,1</w:t>
            </w:r>
          </w:p>
        </w:tc>
      </w:tr>
    </w:tbl>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рынки сбыта сельскохозяйственной продукции района: молоко и мясо – города Великие Луки, Псков, Порхов, Пушкинские Горы.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Выводы: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Основным сельскохозяйственным направлением района является молочно-мясное животноводство.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отрасли растениеводства набор возделываемых сельскохозяйственных культур достаточно ограничен: здесь выращивают зерновые на фураж, картофель и кормовые травы. Посевы льна в последние года были сокращены.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Особенностью района является низкая эффективность использования пахотных земель – около 30 % от площади пашни и наличие значительных площадей под залежью – около 15 % от всех земель сельхозугодий. Неиспользованные земли интенсивно зарастают древесно-кустарниковой растительностью, заболачиваются и закочкариваются.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районе распространены бедные по содержанию питательных веществ подзолистые и дерново-подзолистые, суглинистые почвы, требующие известкования и внесения удобрений в значительных объемах. В связи с недостатком денежных средств в сельском хозяйстве площади низкоплодородных пахотных земель из года в год увеличиваются.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Урожайность зерновых культур в районе остаётся низкой. Причиной этому являлось низкое плодородие почв и недостаточно высокий уровень земледелия.</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сельхозпредприятиях района поголовье крупного рогатого скота уменьшилось на 9 %, в результате валовое производство животноводческой продукции мяса сократилось.</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Сельскохозяйственное производство района находится в трудном экономическом положении, связанном с износом основных средств, диспаритетом цен на сельскохозяйственную промышленную продукцию, ростом тарифов на ГМС и электроэнергию, низкой производительностью труда.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Государственные и муниципальные программы в области сельского хозяйства, действующие на рассматриваемой территории: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Государственная программа «Развитие сельского хозяйства Псковской области»;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Государственная программа Псковской области «Комплексное развитие сельских территорий»;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Муниципальная программа «Борьба с борщевиком Сосновского на территории муниципального образования «Новоржевский район» на 2020-2024 годы».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Основные мероприятия по повышению эффективности сельскохозяйственного производства</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Для повышения эффективности сельскохозяйственного производства в районе необходимо:</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создавать в районе прогрессивные организационно-правовые формы сельскохозяйственного производства – агрогородок и агрофирмы, позволяющие объединить разрозненные стадии единого технологического процесса: производство – хране</w:t>
      </w:r>
      <w:r w:rsidRPr="003D4946">
        <w:rPr>
          <w:rFonts w:ascii="Times New Roman" w:hAnsi="Times New Roman" w:cs="Times New Roman"/>
          <w:sz w:val="24"/>
          <w:szCs w:val="24"/>
        </w:rPr>
        <w:softHyphen/>
        <w:t>ние – скупка – переработка – реализация, ряд сервисных услуг по информационному обеспечению и страхованию отдельных видов деятельности;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настоящее время необходимо развивать снабженческо-сбытовые кооперативы;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районе следует создавать необходимые условия для кредитования производителей сельскохозяйственной продукции;</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 связи с недостатком материально-финансовых ресурсов в сельском хозяйстве необходимо перейти к адаптивным системам земледелия, учитывающим не только климатические и почвенные условия, но и агроландшафты;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расширять посевные площади в районе за счет закустаренных, избыточно увлажненных земель после проведения на них культуртехнических и мелиоративных мероприятий;</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учитывая в перспективе развитие на территории района молочно-мясного животноводства, необходимо расширять площади под зерновые культуры на фураж и организовать современные пункты по переработке зерна;</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на территории района необходимо восстановить посевы льна. Эта культура является стратегической и может быть высокорентабельной.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посевы сельскохозяйственных культур целесообразно размещать выборочно вблизи населённых пунктов, дорог на землях, имеющих более высокое естественное плодородие;</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довести долю застрахованных посевных площадей от общей посевной площади к 2030 г. до 50 %.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для сохранения и дальнейшего повышения плодородия почв пахотных земель необходимо внесение наиболее дешёвых удобрений местного производства на основе торфа и применение прогрессивных технологий обработки почвы.</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повышения урожайности сельскохозяйственных культур и снижения себестоимости продукции необходимо:</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организовать производство семенного материала высокоурожайных сортов;</w:t>
      </w:r>
    </w:p>
    <w:p w:rsidR="003D4946" w:rsidRPr="003D4946" w:rsidRDefault="003D4946" w:rsidP="00216875">
      <w:pPr>
        <w:spacing w:after="0" w:line="240" w:lineRule="auto"/>
        <w:jc w:val="both"/>
        <w:rPr>
          <w:rFonts w:ascii="Times New Roman" w:hAnsi="Times New Roman" w:cs="Times New Roman"/>
          <w:iCs/>
          <w:sz w:val="24"/>
          <w:szCs w:val="24"/>
        </w:rPr>
      </w:pPr>
      <w:r w:rsidRPr="003D4946">
        <w:rPr>
          <w:rFonts w:ascii="Times New Roman" w:hAnsi="Times New Roman" w:cs="Times New Roman"/>
          <w:iCs/>
          <w:sz w:val="24"/>
          <w:szCs w:val="24"/>
        </w:rPr>
        <w:t>– для возделывания сельскохозяйственных культур необходимо внедрять современные технологии и применять высокопроизводительную технику;</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для увеличения продуктивности в животноводстве необходимо создать прочную кормовую базу, вести племенную работу, реконструировать и модернизировать животноводческие фермы, а также вводить в строй новые животноводческие комплексы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выпускать конкурентоспособную сельскохозяйственную продукцию;</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расширять рынки сбыта продукции, развивать межмуниципальные связи, </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для сохранения земель, используемых в сельскохозяйственном производстве, необходимо усилить контроль за рациональным использованием земель сельскохозяйственного назначения в соответствии с целевым назначением данной категории земель. Выделение сельскохозяйственных земель под застройку, хозяйственную деятельность или перевод в другую категорию должен осуществляться на основе, утвержденной градостроительной документацией. Перевод земель сельскохозяйственного назначения допускается в исключительных случаях согласно положению Федерального закона от 21.07. 2005 № 111-ФЗ и дополнениям к нему.</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Невостребованные земли в долевой собственности необходимо закреплять за муниципальными образованиями для дальнейшей передачи в аренду эффективным инвесторам.</w:t>
      </w:r>
    </w:p>
    <w:p w:rsidR="003D4946" w:rsidRPr="003D4946" w:rsidRDefault="003D4946" w:rsidP="00216875">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целом сельское хозяйство района должно развиваться на основе комплексной программы, включающей развитие социальной сферы, дорог, инженерной инфраструктуры.</w:t>
      </w:r>
    </w:p>
    <w:p w:rsidR="003D4946" w:rsidRPr="003D4946" w:rsidRDefault="003D4946" w:rsidP="00216875">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sz w:val="24"/>
          <w:szCs w:val="24"/>
        </w:rPr>
      </w:pPr>
      <w:bookmarkStart w:id="70" w:name="_Toc216434248"/>
      <w:r w:rsidRPr="003D4946">
        <w:rPr>
          <w:rFonts w:ascii="Times New Roman" w:hAnsi="Times New Roman" w:cs="Times New Roman"/>
          <w:b/>
          <w:bCs/>
          <w:sz w:val="24"/>
          <w:szCs w:val="24"/>
        </w:rPr>
        <w:t>3.6.2. Промышленность</w:t>
      </w:r>
      <w:bookmarkEnd w:id="70"/>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занимает 3,2 % площади Псковской области, здесь проживает 7,3 тыс. человек, что составляет около 1,5 % всего населения области. Новоржевский район по многим своим параметрам является типичным для Псковской области. Исторически экономика района базировалась на сельскохозяйственном производстве. Промышленный потенциал незначителен, но играет существенную роль в экономике района. В структуре экономики района значительное место занимает перерабатывающая отрасль промышленности, услуги населению и розничная торговля. Основной экономической специализацией района является сельское и лесное хозяйство.</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Новоржевском районе зарегистрировано 133 субъектов малого и среднего предпринимательства.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Объем отгруженной продукции собственного производства, выполненных работ и услуг собственными силами по крупным и средним организациям Новоржевского района в январе-декабре 2021 года составил 95,9 млн. рублей.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Таблица 26 - </w:t>
      </w:r>
      <w:r w:rsidRPr="003D4946">
        <w:rPr>
          <w:rFonts w:ascii="Times New Roman" w:hAnsi="Times New Roman" w:cs="Times New Roman"/>
          <w:b/>
          <w:bCs/>
          <w:sz w:val="24"/>
          <w:szCs w:val="24"/>
          <w:lang w:val="en-US"/>
        </w:rPr>
        <w:t>Деятельность предприятий</w:t>
      </w:r>
    </w:p>
    <w:tbl>
      <w:tblPr>
        <w:tblW w:w="5000" w:type="pct"/>
        <w:jc w:val="center"/>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616"/>
        <w:gridCol w:w="1813"/>
        <w:gridCol w:w="991"/>
        <w:gridCol w:w="991"/>
        <w:gridCol w:w="991"/>
        <w:gridCol w:w="841"/>
      </w:tblGrid>
      <w:tr w:rsidR="003D4946" w:rsidRPr="003D4946" w:rsidTr="003D4946">
        <w:trPr>
          <w:trHeight w:val="486"/>
          <w:jc w:val="center"/>
        </w:trPr>
        <w:tc>
          <w:tcPr>
            <w:tcW w:w="195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Показатели</w:t>
            </w:r>
          </w:p>
        </w:tc>
        <w:tc>
          <w:tcPr>
            <w:tcW w:w="98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Ед. измерения</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2018</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2019</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2020</w:t>
            </w:r>
          </w:p>
        </w:tc>
        <w:tc>
          <w:tcPr>
            <w:tcW w:w="457" w:type="pct"/>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2021</w:t>
            </w:r>
          </w:p>
        </w:tc>
      </w:tr>
      <w:tr w:rsidR="003D4946" w:rsidRPr="003D4946" w:rsidTr="003D4946">
        <w:trPr>
          <w:trHeight w:val="23"/>
          <w:jc w:val="center"/>
        </w:trPr>
        <w:tc>
          <w:tcPr>
            <w:tcW w:w="5000" w:type="pct"/>
            <w:gridSpan w:val="6"/>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b/>
                <w:bCs/>
                <w:sz w:val="24"/>
                <w:szCs w:val="24"/>
              </w:rPr>
              <w:t>Отгружено товаров собственного производства, выполнено работ и услуг собственными силами (без субъектов малого предпринимательства)</w:t>
            </w:r>
          </w:p>
        </w:tc>
      </w:tr>
      <w:tr w:rsidR="003D4946" w:rsidRPr="003D4946" w:rsidTr="003D4946">
        <w:trPr>
          <w:trHeight w:val="23"/>
          <w:jc w:val="center"/>
        </w:trPr>
        <w:tc>
          <w:tcPr>
            <w:tcW w:w="1956" w:type="pct"/>
            <w:tcBorders>
              <w:top w:val="single" w:sz="8" w:space="0" w:color="000000"/>
              <w:left w:val="single" w:sz="8" w:space="0" w:color="000000"/>
              <w:bottom w:val="single" w:sz="8" w:space="0" w:color="000000"/>
              <w:right w:val="single" w:sz="8" w:space="0" w:color="000000"/>
            </w:tcBorders>
            <w:shd w:val="clear" w:color="auto" w:fill="FFFFFF"/>
            <w:tcMar>
              <w:left w:w="400" w:type="dxa"/>
            </w:tcMar>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lang w:val="en-US"/>
              </w:rPr>
              <w:t>январь-декабрь</w:t>
            </w:r>
          </w:p>
        </w:tc>
        <w:tc>
          <w:tcPr>
            <w:tcW w:w="981"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тысяча рублей</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121579.8</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117647.4</w:t>
            </w:r>
          </w:p>
        </w:tc>
        <w:tc>
          <w:tcPr>
            <w:tcW w:w="53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lang w:val="en-US"/>
              </w:rPr>
              <w:t>86292.9</w:t>
            </w:r>
          </w:p>
        </w:tc>
        <w:tc>
          <w:tcPr>
            <w:tcW w:w="457" w:type="pct"/>
            <w:tcBorders>
              <w:top w:val="single" w:sz="8" w:space="0" w:color="000000"/>
              <w:left w:val="single" w:sz="8" w:space="0" w:color="000000"/>
              <w:bottom w:val="single" w:sz="8" w:space="0" w:color="000000"/>
              <w:right w:val="single" w:sz="4" w:space="0" w:color="auto"/>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95899.8</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Специализация промышленного комплекса района обусловлена использованием местных ресурсов - развитие сельского хозяйства и лесопереработки. Поскольку </w:t>
      </w:r>
      <w:r w:rsidRPr="003D4946">
        <w:rPr>
          <w:rFonts w:ascii="Times New Roman" w:hAnsi="Times New Roman" w:cs="Times New Roman"/>
          <w:sz w:val="24"/>
          <w:szCs w:val="24"/>
        </w:rPr>
        <w:lastRenderedPageBreak/>
        <w:t xml:space="preserve">деятельность лесопромышленных предприятий в части лесозаготовок не входит в объем промышленного производства, роль обрабатывающих производств в экономике района незначительна.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Промышленные виды деятельности представлены МП СПК «Кром» (производство и переработка льнопродукции, выработка льноволокна и льноватина – на данный момент деятельность приостановлена), ГОРПО «Новоржевский хлебозавод» (хлеб и х/булочные изделия в т.ч.булки, сухарные изделия, безалкогольные напитки, кондитерские изделия), ООО «Региональная инвестиционная компания Кабели и провода», ОАО Бежаницкий маслодельный завод. В МП Новоржевского района «Полиграф» (4 чел.) печатается районная газета и выпускается бланочная продукция. Издательская деятельность в районе представлена редакцией Новоржевской районной газеты «Земля Новоржевская» (8 чел.).</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Отдельные предприятия занимаются лесозаготовкой и переработкой древесины. «Псковский лесохозяйственный холдинг-Новоржев» реорганизован в ГП ПО «Лесхозпром» Новоржевский участок (12 чел.). ООО «Абрес» в д. Стехново на территории мастерских СПК «Ругодево» организовано производство деревянных поддонов для промышленности, древесного угля, заготовка дров в сетках (14 чел.). Аналогичная деятельность организована индивидуальным предпринимателем Ивановым И.В. в д. Стехново и на территории льносемстанции (5 чел.).</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Ранее также ООО «Новеранд ПКВ» (34 чел. в 2008 г.) выпускало обрезной пиломатериал, однако данное предприятие приостановило свою деятельность в Новоржевском районе в 2009 году и не функционирует в настоящее время; 11 человек работало в ООО «Клен» в 2009 году, общество занималось изготовлением паллетов, срубов, лесоперерабатывающей деятельностью.</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Сеть региональных дорог обслуживается обособленным структурным предприятием Новоржевский филиал ГБУ ПО «Псковавтодор»- (47 чел.).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Практически весь промышленный потенциал сосредоточен в районном центре.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Малое предпринимательство</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малого предпринимательства (малых и средних производств) необходимо в целях формирования устойчивой экономической базы поселений. Приоритетными видами деятельности являются: пищевая промышленность и переработка сельхозсырья (в т.ч. дикорастущих растений), деревообработка.</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Для формирования устойчивой экономической базы поселений района необходимо в рамках разрабатываемых генеральных планов поселений осуществлять резервирование территорий для развития малых и средних производств, расположение которых преимущественно планируется в пределах черты населенных пунктов</w:t>
      </w:r>
      <w:r w:rsidRPr="003D4946">
        <w:rPr>
          <w:rFonts w:ascii="Times New Roman" w:hAnsi="Times New Roman" w:cs="Times New Roman"/>
          <w:sz w:val="24"/>
          <w:szCs w:val="24"/>
        </w:rPr>
        <w:footnoteReference w:customMarkFollows="1" w:id="1"/>
        <w:sym w:font="Symbol" w:char="F02A"/>
      </w:r>
      <w:r w:rsidRPr="003D4946">
        <w:rPr>
          <w:rFonts w:ascii="Times New Roman" w:hAnsi="Times New Roman" w:cs="Times New Roman"/>
          <w:sz w:val="24"/>
          <w:szCs w:val="24"/>
        </w:rPr>
        <w:t>, исключение могут составлять производственные объекты агропромышленной специализации и добывающей промышленности. Сферы деятельности МСП:</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Оптовая торговля</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Деревообработка</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Сбор лекарственных трав</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Производство (кабели, провода, деревянные поддоны, сельскохозяйственной продукции, мебели и т.п.)</w:t>
      </w:r>
    </w:p>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Оказание услуг (пошив одежды, фотоуслуги, ветуслуги, грузоперевозки, услуги парикмахеров, массаж, авторемонт, ремонт сложной бытовой техники, коммунальных услуг и т.п.).</w:t>
      </w:r>
    </w:p>
    <w:p w:rsidR="003D4946" w:rsidRPr="003D4946" w:rsidRDefault="003D4946" w:rsidP="00B039E0">
      <w:pPr>
        <w:spacing w:after="0" w:line="240" w:lineRule="auto"/>
        <w:rPr>
          <w:rFonts w:ascii="Times New Roman" w:hAnsi="Times New Roman" w:cs="Times New Roman"/>
          <w:sz w:val="24"/>
          <w:szCs w:val="24"/>
        </w:rPr>
      </w:pPr>
    </w:p>
    <w:p w:rsidR="003D4946" w:rsidRPr="003D4946" w:rsidRDefault="003D4946" w:rsidP="00B039E0">
      <w:pPr>
        <w:spacing w:after="0" w:line="240" w:lineRule="auto"/>
        <w:rPr>
          <w:rFonts w:ascii="Times New Roman" w:hAnsi="Times New Roman" w:cs="Times New Roman"/>
          <w:b/>
          <w:sz w:val="24"/>
          <w:szCs w:val="24"/>
        </w:rPr>
      </w:pPr>
      <w:r w:rsidRPr="003D4946">
        <w:rPr>
          <w:rFonts w:ascii="Times New Roman" w:hAnsi="Times New Roman" w:cs="Times New Roman"/>
          <w:b/>
          <w:sz w:val="24"/>
          <w:szCs w:val="24"/>
        </w:rPr>
        <w:t>Таблица 27 - Сведения о субъектах малого и среднего предпринимательства Новоржевского района Псковской области, включённых в единый реестр субъектов малого и среднего предпринимательства по состоянию на 19.05.2022</w:t>
      </w:r>
    </w:p>
    <w:tbl>
      <w:tblPr>
        <w:tblW w:w="5000" w:type="pct"/>
        <w:jc w:val="center"/>
        <w:tblLook w:val="04A0" w:firstRow="1" w:lastRow="0" w:firstColumn="1" w:lastColumn="0" w:noHBand="0" w:noVBand="1"/>
      </w:tblPr>
      <w:tblGrid>
        <w:gridCol w:w="576"/>
        <w:gridCol w:w="2607"/>
        <w:gridCol w:w="1306"/>
        <w:gridCol w:w="3292"/>
        <w:gridCol w:w="1648"/>
      </w:tblGrid>
      <w:tr w:rsidR="003D4946" w:rsidRPr="003D4946" w:rsidTr="003D4946">
        <w:trPr>
          <w:trHeight w:val="23"/>
          <w:tblHeader/>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rPr>
            </w:pPr>
            <w:r w:rsidRPr="003D4946">
              <w:rPr>
                <w:rFonts w:ascii="Times New Roman" w:hAnsi="Times New Roman" w:cs="Times New Roman"/>
                <w:b/>
                <w:bCs/>
                <w:sz w:val="24"/>
                <w:szCs w:val="24"/>
                <w:lang w:val="en-US"/>
              </w:rPr>
              <w:lastRenderedPageBreak/>
              <w:t>№ п/п</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Наименование / ФИО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Тип субъекта*</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Основной вид деятельности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b/>
                <w:bCs/>
                <w:sz w:val="24"/>
                <w:szCs w:val="24"/>
                <w:lang w:val="en-US"/>
              </w:rPr>
            </w:pPr>
            <w:r w:rsidRPr="003D4946">
              <w:rPr>
                <w:rFonts w:ascii="Times New Roman" w:hAnsi="Times New Roman" w:cs="Times New Roman"/>
                <w:b/>
                <w:bCs/>
                <w:sz w:val="24"/>
                <w:szCs w:val="24"/>
                <w:lang w:val="en-US"/>
              </w:rPr>
              <w:t>Населенный пункт</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Алексеев Александр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49.41.1 Перевозка грузов специализированными автотранспортными средствами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Вячеслав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Волчицкое</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lang w:val="en-US"/>
              </w:rPr>
              <w:t>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Дмитрий Валериевич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42.11 Строительство автомобильных дорог и автомагистралей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Алексеев Евгений 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01.1 Выращивание однолетних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Афанасьев Вадим Григорьевич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01.45 Разведение овец и коз</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Баранов Виктор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16.24 Производство деревянной тары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Барихновский Эдуард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47.76.1 Торговля розничная цветами и другими растениями, семенами и удобрениями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Жекупино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Баширов Мохлат Башир 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47.22.1 Торговля розничная мясом и мясом птицы, включая субпродукты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Ямищи</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Безменов Роман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01.45 Разведение овец и коз</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Мосеево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Белова Жанна Романовна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45.31 Торговля оптовая 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Беляева Инна 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Бушуев Михаил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49.42 Предоставление услуг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Игорь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Михаил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Вишлево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Николай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47.61 Торговля розничная книгами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Гривино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Васильев Юрий </w:t>
            </w:r>
            <w:r w:rsidRPr="003D4946">
              <w:rPr>
                <w:rFonts w:ascii="Times New Roman" w:hAnsi="Times New Roman" w:cs="Times New Roman"/>
                <w:sz w:val="24"/>
                <w:szCs w:val="24"/>
                <w:lang w:val="en-US"/>
              </w:rPr>
              <w:lastRenderedPageBreak/>
              <w:t>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47.19 Торговля розничная </w:t>
            </w:r>
            <w:r w:rsidRPr="003D4946">
              <w:rPr>
                <w:rFonts w:ascii="Times New Roman" w:hAnsi="Times New Roman" w:cs="Times New Roman"/>
                <w:sz w:val="24"/>
                <w:szCs w:val="24"/>
              </w:rPr>
              <w:lastRenderedPageBreak/>
              <w:t>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 Юрий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77.11 Аренда и лизинг легковых автомобилей и легких 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Васильева Лилия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Волков Дмитрий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Волков Федор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Власково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Ворников Юрий Андреевич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Воронина Елена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Гаврилов Вадим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 Деятельность автомобильного грузового транспорта и услуги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Гаврилова Ольга Валерьевна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96.09 Предоставление прочих персональных услуг, не включенных в другие 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Гальдикене Вера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Гапизова Зарина Саидовна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01.42 Разведение прочих пород крупного рогатого скота и буйволов, производство спермы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Гасанов Илхам Алихан-Оглы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47.22 Торговля розничная мясом и мясными продуктами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28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Глебов Александр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47.52 Торговля розничная скобяными изделиями, лакокрасочными материалами и стеклом в специализированных </w:t>
            </w:r>
            <w:r w:rsidRPr="003D4946">
              <w:rPr>
                <w:rFonts w:ascii="Times New Roman" w:hAnsi="Times New Roman" w:cs="Times New Roman"/>
                <w:sz w:val="24"/>
                <w:szCs w:val="24"/>
              </w:rPr>
              <w:lastRenderedPageBreak/>
              <w:t>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29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Глебов Виктор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Голубев Александр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47.59 Торговля розничная мебелью, осветительными приборами и прочими бытовыми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Булохово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Горковская Евгения 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Городское Потребительское Общество "Новоржевский Хлебозавод"</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10.71 Производство хлеба и мучных кондитерских изделий, тортов и пирожных недлительного хранения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Григорьев Иван Васильевич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ВЕСКА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Гусейнов Рафил Камалович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Доманово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Гусенов Магомедрасул Магомедович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77.31 Аренда и лизинг сельскохозяйственных машин и оборудования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Посадниково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Денисов Руслан Геннадьевич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45.20 Техническое обслуживание и ремонт 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Дмитриев Алексей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96.03 Организация похорон и представление связанных с ними услуг</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Дмитриев Николай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77.39 Аренда и лизинг прочих видов транспорта, оборудования и материальных средств, не включенных в другие 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Дробин Виктор </w:t>
            </w:r>
            <w:r w:rsidRPr="003D4946">
              <w:rPr>
                <w:rFonts w:ascii="Times New Roman" w:hAnsi="Times New Roman" w:cs="Times New Roman"/>
                <w:sz w:val="24"/>
                <w:szCs w:val="24"/>
                <w:lang w:val="en-US"/>
              </w:rPr>
              <w:lastRenderedPageBreak/>
              <w:t>Славич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01.42.11 Разведение мясного </w:t>
            </w:r>
            <w:r w:rsidRPr="003D4946">
              <w:rPr>
                <w:rFonts w:ascii="Times New Roman" w:hAnsi="Times New Roman" w:cs="Times New Roman"/>
                <w:sz w:val="24"/>
                <w:szCs w:val="24"/>
              </w:rPr>
              <w:lastRenderedPageBreak/>
              <w:t>и прочего крупного рогатого скота, включая буйволов, яков и др., на мясо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Булохово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40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Егорова Елена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43.34 Производство малярных и стекольных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Егорова Наталья Валентиновна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47.81 Торговля розничная в нестационарных торговых объектах и на рынках пищевыми продуктами, напитками и табачной продукцией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Еникеева Ирина Олеговна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Стехново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Захаров Сергей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Иванников Сергей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 Торговля розничная по почте или по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Дублиньково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Александр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Старый Двор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Алексей Вячеславович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Дмитрий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 Игорь Валентинович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47.43 Торговля розничная аудио- и видеотехникой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Иванова Клавдия Евгеньевна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47.76 Торговля розничная цветами и другими растениями, семенами, удобрениями, домашними животными и кормами для домашних животных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Иванова Надежда Викторовна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47.91.2 Торговля розничная, осуществляемая непосредственно при помощи информационно-коммуникационной сети Интернет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Рахнихино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 xml:space="preserve">Иванова Талина </w:t>
            </w:r>
            <w:r w:rsidRPr="003D4946">
              <w:rPr>
                <w:rFonts w:ascii="Times New Roman" w:hAnsi="Times New Roman" w:cs="Times New Roman"/>
                <w:sz w:val="24"/>
                <w:szCs w:val="24"/>
                <w:lang w:val="en-US"/>
              </w:rPr>
              <w:lastRenderedPageBreak/>
              <w:t>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47.76.1 Торговля розничная </w:t>
            </w:r>
            <w:r w:rsidRPr="003D4946">
              <w:rPr>
                <w:rFonts w:ascii="Times New Roman" w:hAnsi="Times New Roman" w:cs="Times New Roman"/>
                <w:sz w:val="24"/>
                <w:szCs w:val="24"/>
              </w:rPr>
              <w:lastRenderedPageBreak/>
              <w:t>цветами и другими растениями, семенами и удобрениями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52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Иголь Оксана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47.89.2 Торговля розничная на рынках прочими товарами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Карпова Анна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01.50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Дублиньково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Катин Александр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49.42 Предоставление услуг по перевозкам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Колупаев Михаил Сергеевич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Колупаева Светлана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Кондратьева Оксана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Королевскй Александр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 Торговля розничная в нестационарных торговых объектах и на рынках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59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Корчемкина Людмила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Крестьянское (Фермерское) Хозяйство "Малиновка"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01.11 Выращивание зерновых (кроме риса), зернобобовых культур и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Стехново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Максимова Наталья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Мартынов Алексей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96.03 Организация похорон и представление связанных с ними услуг</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Мартынова Марина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Марцынкевич Николай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47.82 Торговля розничная в нестационарных торговых объектах и на рынках текстилем, одеждой и обувью</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Деревицы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Масенков Павел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Макарово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66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Матвеева Ирина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45.32 Торговля розничная 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Михайлов Александр Валерьевич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62.09 Деятельность, связанная с использованием вычислительной техники и информационных технологий, прочая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Дубровы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Михайлов Александр Григорьевич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Мищенко Валентина Николаевнва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Можаева Наталья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47.9 Торговля розничная вне магазинов, палаток, рынков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Назарова Ольга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45.32 Торговля розничная автомобильными деталями, узлами и принадлежностями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Нестеренок Виктор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73.11 Деятельность рекламных агентств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Новоржевское Районное Потребительское Общество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47.19 Торговля розничная прочая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"Агроснаб-Новоржев"</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"Благодать"</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68.20 Аренда и управление собственным или арендованным недвижимым имуществом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Соболицы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"Вехно"</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01.11 Выращивание зерновых (кроме риса), зернобобовых культур и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"Кип Транс"</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46.9 Торговля оптовая неспециализированная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"Маркетинговое Агентство "Энтер"</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73.11 Деятельность рекламных агентств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79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"Ндг-Опочка"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16.10.1 Производство пиломатериалов, кроме профилированных, толщиной более 6 мм; производство непропитанных железнодорожных и </w:t>
            </w:r>
            <w:r w:rsidRPr="003D4946">
              <w:rPr>
                <w:rFonts w:ascii="Times New Roman" w:hAnsi="Times New Roman" w:cs="Times New Roman"/>
                <w:sz w:val="24"/>
                <w:szCs w:val="24"/>
              </w:rPr>
              <w:lastRenderedPageBreak/>
              <w:t>трамвайных шпал из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80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"Новоржевский Льнозавод"</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01.61 Предоставление услуг в области растениеводства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"Ремонтно-Строительное Предприятие"</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68.32.1 Управление эксплуатацией жилого фонда за вознаграждение или на договорной основе</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"Схк Новоржевский"</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01.50 Смешанное сельское хозяйство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"Технокомплект"</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26.51.7 Производство приборов и аппаратуры для автоматического регулирования или управления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"Усадьба"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55.1 Деятельность гостиниц и прочих мест для временного проживания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Алтун</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"Экос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20.42 Производство парфюмерных и косметических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общество с ограниченной ответственностью "элпром"</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71.20.9 Деятельность по техническому контролю, испытаниям и анализу прочая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rPr>
              <w:t xml:space="preserve">Общество с Ограниченной Ответственностью «Общество с Ограниченной Ответственностью </w:t>
            </w:r>
            <w:r w:rsidRPr="003D4946">
              <w:rPr>
                <w:rFonts w:ascii="Times New Roman" w:hAnsi="Times New Roman" w:cs="Times New Roman"/>
                <w:sz w:val="24"/>
                <w:szCs w:val="24"/>
                <w:lang w:val="en-US"/>
              </w:rPr>
              <w:t>"Велес»</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01.11.3 Выращивание семян масличных культур</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Оверченко Екатерина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89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Оре Солорсано Реджи Брайам</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74.30 Деятельность по письменному и устному переводу</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Павлов Николай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02.40.2 Предоставление услуг в области лесозаготовок</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Пашков Артем Михайлович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92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Перфильева Ксения Игоревна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47.11 Торговля розничная преимущественно пищевыми продуктами, включая напитки, и табачными 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Петрова Марина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73.20 Исследование конъюнктуры рынка и изучение общественного мнения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Петрова Татьяна Аликовна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46.17.1 Деятельность агентов по оптовой торговле пищевыми продуктами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Платоненко Марина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47.5 Торговля розничная прочими бытовыми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Пойда Сергей Федорович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43.29 Производство прочих строительно-монтажных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Полковников Павел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01.47.11 Выращивание сельскохозяйственной птицы на мясо</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Послонская Ирина Анатольевна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47.79 Торговля розничная бывшими в употреблении товарами в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99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Примов Фарман Паша Оглы</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46.32.1 Торговля оптовая мясом и мясом птицы, включая субпродукты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Пронько Александр Викторович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47.62.2 Торговля розничная писчебумажными и канцелярскими товарами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Барута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Прохоров Виктор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01.49.11 Пчеловодство медового направления</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Романова Татьяна Михайловна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46.73 Торговля оптовая лесоматериалами, строительными материалами и санитарно-техническим оборудованием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Кудяево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Ротарь Оксана Траяновна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49.41.2 Перевозка грузов неспециализированными автотранспортными средствами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Сайдаков Дмитрий Валерьевич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32.99 Производство прочих готовых изделий, не включенных в другие </w:t>
            </w:r>
            <w:r w:rsidRPr="003D4946">
              <w:rPr>
                <w:rFonts w:ascii="Times New Roman" w:hAnsi="Times New Roman" w:cs="Times New Roman"/>
                <w:sz w:val="24"/>
                <w:szCs w:val="24"/>
              </w:rPr>
              <w:lastRenderedPageBreak/>
              <w:t>группировки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105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Сальный Сергей Александрович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10.51 Производство молока (кроме сырого) и молочной продукции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Макарово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Самулевич Лилия Александровна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69.20 Деятельность по оказанию услуг в области бухгалтерского учета, по проведению финансового аудита, по налоговому консультированию</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Сельскохозяйственный Производственный Кооператив "Выбор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Сельскохозяйственный Производственный Кооператив "Жадрицы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Жадрицы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109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Сельскохозяйственный Производственный Кооператив - Колхоз "Вехнянский"</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Сельскохозяйственный Производственный Кооператив "Заря "</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ЮЛ</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Дубровы</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Сергеев Николай Вячеславович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01.13 Выращивание овощей, бахчевых, корнеплодных и клубнеплодных культур, грибов и трюфелей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Серёгина Татьяна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46.17.1 Деятельность агентов по оптовой торговле пищевыми продуктами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Вишлево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Соколов Николай Васильевич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46.73.1 Торговля оптовая древесным сырьем и необработанными лесоматериалами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Веска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Сосновская Ирина Владимировна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43.29 Производство прочих строительно-монтажных работ</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Степанов Александр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49.41 Деятельность автомобильного грузового транспорта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Выбор</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Степанова Галина Васильевна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01.13.3 Выращивание столовых корнеплодных и клубнеплодных культур с высоким содержанием крахмала или инулина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Суворова Елена Витальевна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 xml:space="preserve">47.11 Торговля розничная преимущественно пищевыми продуктами, включая напитки, и табачными </w:t>
            </w:r>
            <w:r w:rsidRPr="003D4946">
              <w:rPr>
                <w:rFonts w:ascii="Times New Roman" w:hAnsi="Times New Roman" w:cs="Times New Roman"/>
                <w:sz w:val="24"/>
                <w:szCs w:val="24"/>
              </w:rPr>
              <w:lastRenderedPageBreak/>
              <w:t>изделиями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д. Алтун</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118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 Андрей Владимирович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16.10 Распиловка и строгание древесины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119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 Виктор Евгеньевич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Тимофеева Марина Ивановна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47.2 Торговля розничная пищевыми продуктами, напитками и табачными изделиями в 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Трофимов Игорь Леонидович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45.20 Техническое обслуживание и ремонт автотранспортных средств</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Фёдоров Александр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47.81.2 Торговля розничная на рынках пищевыми продуктами, напитками и табачной продукцией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Федоров Андрей Геннадьевич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124</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Федоров Николай Юрьевич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02.20 Лесозаготовки</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Орша</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125</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 Дмитрий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25.11 Производство строительных металлических конструкций, изделий и их частей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126</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 Иван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01.41 Разведение молочного крупного рогатого скота, производство сырого молока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Иваньково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127</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Филиппова Анжела Валентиновна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47.1 Торговля розничная в неспециализированных магазинах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128</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Фролов Илья Алексеевич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69.10 Деятельность в области права</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Заборье</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129</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Чистоборский Анатолий Анатольевич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16.23 Производство прочих деревянных строительных конструкций и столярных изделий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130</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Анатолий Валерьянович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68.20.2 Аренда и управление собственным или арендованным нежилым недвижимым имуществом</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г. Новоржев</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131</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Андрей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35.30.5 Обеспечение работоспособности тепловых сетей</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Вехно</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132</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 Дмитрий Николаевич</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01.47 Разведение сельскохозяйственной птицы</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Муровичи</w:t>
            </w:r>
          </w:p>
        </w:tc>
      </w:tr>
      <w:tr w:rsidR="003D4946" w:rsidRPr="003D4946" w:rsidTr="003D4946">
        <w:trPr>
          <w:trHeight w:val="23"/>
          <w:jc w:val="center"/>
        </w:trPr>
        <w:tc>
          <w:tcPr>
            <w:tcW w:w="329"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lastRenderedPageBreak/>
              <w:t>133</w:t>
            </w:r>
          </w:p>
        </w:tc>
        <w:tc>
          <w:tcPr>
            <w:tcW w:w="952"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Яковлева Алевтина Николаевна</w:t>
            </w:r>
          </w:p>
        </w:tc>
        <w:tc>
          <w:tcPr>
            <w:tcW w:w="573"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ИП</w:t>
            </w:r>
          </w:p>
        </w:tc>
        <w:tc>
          <w:tcPr>
            <w:tcW w:w="2088"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rPr>
            </w:pPr>
            <w:r w:rsidRPr="003D4946">
              <w:rPr>
                <w:rFonts w:ascii="Times New Roman" w:hAnsi="Times New Roman" w:cs="Times New Roman"/>
                <w:sz w:val="24"/>
                <w:szCs w:val="24"/>
              </w:rPr>
              <w:t>47.8 Торговля розничная в нестационарных торговых объектах и на рынках</w:t>
            </w:r>
          </w:p>
        </w:tc>
        <w:tc>
          <w:tcPr>
            <w:tcW w:w="1057" w:type="pct"/>
            <w:tcBorders>
              <w:top w:val="single" w:sz="2" w:space="0" w:color="000000"/>
              <w:left w:val="single" w:sz="2" w:space="0" w:color="000000"/>
              <w:bottom w:val="single" w:sz="2" w:space="0" w:color="000000"/>
              <w:right w:val="single" w:sz="2" w:space="0" w:color="000000"/>
            </w:tcBorders>
            <w:shd w:val="clear" w:color="auto" w:fill="auto"/>
            <w:vAlign w:val="center"/>
          </w:tcPr>
          <w:p w:rsidR="003D4946" w:rsidRPr="003D4946" w:rsidRDefault="003D4946" w:rsidP="00B039E0">
            <w:pPr>
              <w:spacing w:after="0" w:line="240" w:lineRule="auto"/>
              <w:rPr>
                <w:rFonts w:ascii="Times New Roman" w:hAnsi="Times New Roman" w:cs="Times New Roman"/>
                <w:sz w:val="24"/>
                <w:szCs w:val="24"/>
                <w:lang w:val="en-US"/>
              </w:rPr>
            </w:pPr>
            <w:r w:rsidRPr="003D4946">
              <w:rPr>
                <w:rFonts w:ascii="Times New Roman" w:hAnsi="Times New Roman" w:cs="Times New Roman"/>
                <w:sz w:val="24"/>
                <w:szCs w:val="24"/>
                <w:lang w:val="en-US"/>
              </w:rPr>
              <w:t>д. Жекупино</w:t>
            </w:r>
          </w:p>
        </w:tc>
      </w:tr>
    </w:tbl>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ИП - индивидуальный предприниматель; ЮЛ - юридическое лицо.</w:t>
      </w:r>
    </w:p>
    <w:p w:rsidR="00B039E0" w:rsidRDefault="00B039E0" w:rsidP="00B039E0">
      <w:pPr>
        <w:spacing w:after="0" w:line="240" w:lineRule="auto"/>
        <w:jc w:val="both"/>
        <w:rPr>
          <w:rFonts w:ascii="Times New Roman" w:hAnsi="Times New Roman" w:cs="Times New Roman"/>
          <w:b/>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28 - Обобщенные сведения о хозяйствующих субъектах и принадлежащих им объектах, содержащиеся в торговом реестре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4A0" w:firstRow="1" w:lastRow="0" w:firstColumn="1" w:lastColumn="0" w:noHBand="0" w:noVBand="1"/>
      </w:tblPr>
      <w:tblGrid>
        <w:gridCol w:w="3358"/>
        <w:gridCol w:w="2015"/>
        <w:gridCol w:w="1581"/>
        <w:gridCol w:w="2315"/>
      </w:tblGrid>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Тип хозяйствующего субъекта</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хозяйствующих субъектов (ед.)</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Количество объектов (ед.)</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Средняя численность работников хозяйствующих субъектов (чел.)</w:t>
            </w:r>
          </w:p>
        </w:tc>
      </w:tr>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Хозяйствующие субъекты, осуществляющие торговую деятельность</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565</w:t>
            </w:r>
          </w:p>
        </w:tc>
      </w:tr>
      <w:tr w:rsidR="003D4946" w:rsidRPr="003D4946" w:rsidTr="003D4946">
        <w:trPr>
          <w:trHeight w:val="23"/>
          <w:jc w:val="center"/>
        </w:trPr>
        <w:tc>
          <w:tcPr>
            <w:tcW w:w="1811"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Итого</w:t>
            </w:r>
          </w:p>
        </w:tc>
        <w:tc>
          <w:tcPr>
            <w:tcW w:w="1087"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85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49</w:t>
            </w:r>
          </w:p>
        </w:tc>
        <w:tc>
          <w:tcPr>
            <w:tcW w:w="1249"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565</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Инвестиционная привлекательность района остается незначительной. При всех планируемых направлениях деятельности основной задачей является сохранение и развитие производства всех форм собственности и улучшение их финансового состояния, с оказанием конкретной квалифицированной помощи и проведением разъяснительной работы по внедрению в производство передового опыта и прогрессивных технологий.</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Уровень хозяйственной освоенности территории района неравномерен, сосредоточение промышленного потенциала отмечается в г. Новоржев, д. Стехново и населенных пунктах, расположенных вблизи районного центра.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Уникальные природные условия, наличие памятников истории, археологи, культуры создают прекрасные возможности для организации развития рекреации и туриндустрии. Развитие туризма может оказать стимулирующее воздействие на такие сектора экономики, как транспорт, связь, торговля, строительство, сельское хозяйство, производство товаров народного потребления. Это одно из перспективных направлений развития экономического потенциала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К основным факторам, сдерживающим развитие района, можно отнести недостаточный уровень развития материально-технической базы и обеспеченности квалифицированными кадрами предприятий района; высокую степень износа основных фондов и невысокую инвестиционную активность, а также недостаточный уровень развития инженерной инфраструктуры.</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Для повышения инвестиционной привлекательности территории необходима подготовка инвестиционных площадок, предназначенных для развития малых и средних производств, в целях размещения новых производственных объектов, жилищного строительства, размещения объектов рекреации.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земельных участков под объекты капитального строительства производственного назначения должно осуществляться преимущественно в пределах черты населенных пунктов в соответствии с генеральными планами поселений и инвестиционными проектами. Вне границ земель населенных пунктов могут размещаться производственные объекты агропромышленной специализации, а также объекты придорожного сервиса, туристско-рекреационной инфраструктуры.</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Перспективы развития</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Специализацию Новоржевского района определяет развитие </w:t>
      </w:r>
      <w:r w:rsidRPr="003D4946">
        <w:rPr>
          <w:rFonts w:ascii="Times New Roman" w:hAnsi="Times New Roman" w:cs="Times New Roman"/>
          <w:sz w:val="24"/>
          <w:szCs w:val="24"/>
          <w:u w:val="single"/>
        </w:rPr>
        <w:t>сельского хозяйства и сопутствующих производств АПК.</w:t>
      </w:r>
      <w:r w:rsidRPr="003D4946">
        <w:rPr>
          <w:rFonts w:ascii="Times New Roman" w:hAnsi="Times New Roman" w:cs="Times New Roman"/>
          <w:sz w:val="24"/>
          <w:szCs w:val="24"/>
        </w:rPr>
        <w:t xml:space="preserve"> В будущем возможно размещение на территории района новых предприятий, преимущественно малых и средних, прежде всего агропромышленного комплекса, в частности пищевой промышленности, которая может развиваться за счет переработки сельхозсырья.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Второй по значимости для района, и в настоящее время и на перспективу, является лесозаготовительная и деревообрабатывающая промышленность, развитие которой предполагается на базе существующих в районе лесопромышленных предприятий. Основными задачами развития лесопромышленного комплекса района является повышение степени использования имеющегося в районе потенциала по заготовке и переработке древесины, наращивание объемов деревообработки с внедрением новых технологий заготовки и переработки древесины, более полное использование отходов лесозаготовки, повышение конкурентоспособности выпускаемой продукции.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создания условий поступательного роста экономического потенциала в рамках концепции развития промышленного комплекса района необходимо решение следующих задач:</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рост эффективности производства, техническое перевооружение существующих производств;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повышение инвестиционной привлекательности района, создание благоприятных условий для привлечения инвесторов с целью создания новых и развития уже имеющихся на территории района производств;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формирование небольших агрохолдингов с развитием местного сельскохозяйственного производства и перерабатывающих производств;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формирование благоприятных условий для устойчивого развития малого предпринимательства как инструмента для создания новых рабочих мест, одного из источников дохода местного бюджета и обеспечения населения района качественными товарами и услугами;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развитие межрайонного и межмуниципального сотрудничества.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Промышленный комплекс</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 основе проведенного анализа, схемой территориального планирования </w:t>
      </w:r>
      <w:r w:rsidRPr="003D4946">
        <w:rPr>
          <w:rFonts w:ascii="Times New Roman" w:hAnsi="Times New Roman" w:cs="Times New Roman"/>
          <w:i/>
          <w:iCs/>
          <w:sz w:val="24"/>
          <w:szCs w:val="24"/>
        </w:rPr>
        <w:t>рекомендуются мероприятия</w:t>
      </w:r>
      <w:r w:rsidRPr="003D4946">
        <w:rPr>
          <w:rFonts w:ascii="Times New Roman" w:hAnsi="Times New Roman" w:cs="Times New Roman"/>
          <w:sz w:val="24"/>
          <w:szCs w:val="24"/>
        </w:rPr>
        <w:t>, которые могут оказать благотворное влияние на развитие муниципального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Восстановление посевов льна, расширение посевных площадей под зерновые и кормовые культуры, а также картофель.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Реконструкция и модернизация и животноводческих ферм, зернотоков в сельскохозяйственных предприятиях.</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Строительство картофелехранилища.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Реконструкция Новоржевского льнозавода.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Для обеспечения населения Новоржевского района и других районов яйцом целесообразно построить птицефабрику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производства по переработке молока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Организация производства переработки картофеля на крахмал, чипсы и т.д.</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производства по переработке продуктов пчеловодства.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Создание сети заготовительных пунктов по заготовке лекарственного сырья и цеха по его переработке.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Организация предприятий по добыче торфа для приготовления органических удобрений и топливных брикетов.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Также проектом внесения изменений в СТП Новоржевского района предлагаются мероприятия, которые могут оказать влияние на повышение инвестиционной привлекательности рассматриваемой территории:</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инвестиционных площадок производственного назначения для размещения технопарков.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Данное предложение определено исходя из существующих и потенциальных экономических возможностей района.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Выделение земельных участков под объекты капитального строительства производственного назначения должно осуществляться преимущественно в пределах черты населенных пунктов в соответствии с генеральными планами поселений и инвестиционными проектами. Вне границ земель населенных пунктов могут размещаться производственные объекты агропромышленной специализации и добывающей промышленности, а также объекты придорожного сервиса, туристско-рекреационной инфраструктуры.</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При размещении инвестиционных площадок для малого предпринимательства учитываются территориальные особенности и приоритетная экономическая специализация муниципальных образований. Определение приоритетных направлений поддержки малого предпринимательства и отбор конкретных проектов осуществляется с учетом наиболее важных социально-экономических задач развития территории на уровне местного самоуправления поселения.</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i/>
          <w:sz w:val="24"/>
          <w:szCs w:val="24"/>
        </w:rPr>
      </w:pPr>
      <w:bookmarkStart w:id="71" w:name="_Toc216434249"/>
      <w:r w:rsidRPr="003D4946">
        <w:rPr>
          <w:rFonts w:ascii="Times New Roman" w:hAnsi="Times New Roman" w:cs="Times New Roman"/>
          <w:b/>
          <w:bCs/>
          <w:i/>
          <w:sz w:val="24"/>
          <w:szCs w:val="24"/>
        </w:rPr>
        <w:t>3.7. Социальная инфраструктура</w:t>
      </w:r>
      <w:bookmarkEnd w:id="66"/>
      <w:bookmarkEnd w:id="71"/>
    </w:p>
    <w:p w:rsidR="003D4946" w:rsidRPr="003D4946" w:rsidRDefault="003D4946" w:rsidP="00B039E0">
      <w:pPr>
        <w:spacing w:after="0" w:line="240" w:lineRule="auto"/>
        <w:jc w:val="center"/>
        <w:rPr>
          <w:rFonts w:ascii="Times New Roman" w:hAnsi="Times New Roman" w:cs="Times New Roman"/>
          <w:b/>
          <w:bCs/>
          <w:i/>
          <w:sz w:val="24"/>
          <w:szCs w:val="24"/>
        </w:rPr>
      </w:pPr>
    </w:p>
    <w:p w:rsidR="003D4946" w:rsidRDefault="003D4946" w:rsidP="00B039E0">
      <w:pPr>
        <w:spacing w:after="0" w:line="240" w:lineRule="auto"/>
        <w:jc w:val="center"/>
        <w:rPr>
          <w:rFonts w:ascii="Times New Roman" w:hAnsi="Times New Roman" w:cs="Times New Roman"/>
          <w:b/>
          <w:bCs/>
          <w:sz w:val="24"/>
          <w:szCs w:val="24"/>
        </w:rPr>
      </w:pPr>
      <w:bookmarkStart w:id="72" w:name="_Toc216434250"/>
      <w:r w:rsidRPr="003D4946">
        <w:rPr>
          <w:rFonts w:ascii="Times New Roman" w:hAnsi="Times New Roman" w:cs="Times New Roman"/>
          <w:b/>
          <w:bCs/>
          <w:sz w:val="24"/>
          <w:szCs w:val="24"/>
        </w:rPr>
        <w:t>3.7.1. Образование</w:t>
      </w:r>
      <w:bookmarkEnd w:id="72"/>
    </w:p>
    <w:p w:rsidR="00B039E0" w:rsidRPr="003D4946" w:rsidRDefault="00B039E0" w:rsidP="00B039E0">
      <w:pPr>
        <w:spacing w:after="0" w:line="240" w:lineRule="auto"/>
        <w:jc w:val="center"/>
        <w:rPr>
          <w:rFonts w:ascii="Times New Roman" w:hAnsi="Times New Roman" w:cs="Times New Roman"/>
          <w:b/>
          <w:bCs/>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Дошкольное и среднее школьное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bookmarkStart w:id="73" w:name="bookmark1"/>
      <w:r w:rsidRPr="003D4946">
        <w:rPr>
          <w:rFonts w:ascii="Times New Roman" w:hAnsi="Times New Roman" w:cs="Times New Roman"/>
          <w:b/>
          <w:sz w:val="24"/>
          <w:szCs w:val="24"/>
        </w:rPr>
        <w:t>Таблица 29 - Перечень объектов образования всех видов</w:t>
      </w:r>
      <w:bookmarkEnd w:id="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4"/>
        <w:gridCol w:w="2286"/>
        <w:gridCol w:w="1871"/>
        <w:gridCol w:w="1005"/>
        <w:gridCol w:w="1006"/>
        <w:gridCol w:w="1490"/>
        <w:gridCol w:w="1091"/>
      </w:tblGrid>
      <w:tr w:rsidR="003D4946" w:rsidRPr="003D4946" w:rsidTr="003D4946">
        <w:trPr>
          <w:trHeight w:val="23"/>
          <w:tblHeader/>
          <w:jc w:val="center"/>
        </w:trPr>
        <w:tc>
          <w:tcPr>
            <w:tcW w:w="262"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п/п</w:t>
            </w:r>
          </w:p>
        </w:tc>
        <w:tc>
          <w:tcPr>
            <w:tcW w:w="1238"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w:t>
            </w:r>
          </w:p>
        </w:tc>
        <w:tc>
          <w:tcPr>
            <w:tcW w:w="1013"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Адрес</w:t>
            </w:r>
          </w:p>
        </w:tc>
        <w:tc>
          <w:tcPr>
            <w:tcW w:w="1088" w:type="pct"/>
            <w:gridSpan w:val="2"/>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Вместимость</w:t>
            </w:r>
          </w:p>
        </w:tc>
        <w:tc>
          <w:tcPr>
            <w:tcW w:w="807"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Г од ввода</w:t>
            </w:r>
          </w:p>
        </w:tc>
        <w:tc>
          <w:tcPr>
            <w:tcW w:w="593" w:type="pct"/>
            <w:vMerge w:val="restar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Степень износа %</w:t>
            </w:r>
          </w:p>
        </w:tc>
      </w:tr>
      <w:tr w:rsidR="003D4946" w:rsidRPr="003D4946" w:rsidTr="003D4946">
        <w:trPr>
          <w:trHeight w:val="23"/>
          <w:tblHeader/>
          <w:jc w:val="center"/>
        </w:trPr>
        <w:tc>
          <w:tcPr>
            <w:tcW w:w="262"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238"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13"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Проект.</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Факт.</w:t>
            </w:r>
          </w:p>
        </w:tc>
        <w:tc>
          <w:tcPr>
            <w:tcW w:w="807"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593" w:type="pct"/>
            <w:vMerge/>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МОУ «Новоржевская средняя школа» (здание № 2 и № 3)</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Германа, д. 72</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525</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зд. № 2-1962 г.,</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зд. №3- 1976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МОУ «Новоржевская средняя школа» (по улице Карла Маркса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Карла Маркса, 44</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45</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2001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Выборская средняя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 Выбор, ул. Школьная, д. 8</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42</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1961 г. пристройка 1978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Дубровская основная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д.Дубровы, ул. Партизана Григорьева, д.99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13</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1968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«Жадрицкая начальная общеобразовательная 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Новоржевский район, д. Жадрицы, ул. Пореченкова, д 16а</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2013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«Вехнянская начальная общеобразовательная </w:t>
            </w:r>
            <w:r w:rsidRPr="003D4946">
              <w:rPr>
                <w:rFonts w:ascii="Times New Roman" w:hAnsi="Times New Roman" w:cs="Times New Roman"/>
                <w:sz w:val="24"/>
                <w:szCs w:val="24"/>
              </w:rPr>
              <w:lastRenderedPageBreak/>
              <w:t>школа»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xml:space="preserve">Псковская обл, Новоржевский район, д. Вехно, </w:t>
            </w:r>
            <w:r w:rsidRPr="003D4946">
              <w:rPr>
                <w:rFonts w:ascii="Times New Roman" w:hAnsi="Times New Roman" w:cs="Times New Roman"/>
                <w:sz w:val="24"/>
                <w:szCs w:val="24"/>
              </w:rPr>
              <w:lastRenderedPageBreak/>
              <w:t>ул. Центральная, д. 119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40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1987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7</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«Детский сад «Светлячок»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Германа, д. 79</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1966 г. пристройка 1979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«Детский сад «Ленок» филиал МОУ «Новоржевская средняя школа»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Пушкина, д. 123</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1952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9</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МБУДО</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Дом детского творчества»</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 г. Новоржев, ул. Советская площадь, д. 12</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1930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50,00%</w:t>
            </w:r>
          </w:p>
        </w:tc>
      </w:tr>
      <w:tr w:rsidR="003D4946" w:rsidRPr="003D4946" w:rsidTr="003D4946">
        <w:trPr>
          <w:trHeight w:val="23"/>
          <w:jc w:val="center"/>
        </w:trPr>
        <w:tc>
          <w:tcPr>
            <w:tcW w:w="262"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w:t>
            </w:r>
          </w:p>
        </w:tc>
        <w:tc>
          <w:tcPr>
            <w:tcW w:w="1238"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БУ ДО Новоржевская ДШИ</w:t>
            </w:r>
          </w:p>
        </w:tc>
        <w:tc>
          <w:tcPr>
            <w:tcW w:w="101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182440 Псковская область, город Новоржев, улица Володарского, дом 24</w:t>
            </w:r>
          </w:p>
        </w:tc>
        <w:tc>
          <w:tcPr>
            <w:tcW w:w="544"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545"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w:t>
            </w:r>
          </w:p>
        </w:tc>
        <w:tc>
          <w:tcPr>
            <w:tcW w:w="807"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1961 г.</w:t>
            </w:r>
          </w:p>
        </w:tc>
        <w:tc>
          <w:tcPr>
            <w:tcW w:w="593" w:type="pct"/>
            <w:tcBorders>
              <w:tl2br w:val="nil"/>
              <w:tr2bl w:val="nil"/>
            </w:tcBorders>
            <w:shd w:val="clear" w:color="auto" w:fill="FFFFFF"/>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50,00%</w:t>
            </w:r>
          </w:p>
        </w:tc>
      </w:tr>
    </w:tbl>
    <w:p w:rsidR="003D4946" w:rsidRPr="003D4946" w:rsidRDefault="003D4946" w:rsidP="00B039E0">
      <w:pPr>
        <w:spacing w:after="0" w:line="240" w:lineRule="auto"/>
        <w:jc w:val="both"/>
        <w:rPr>
          <w:rFonts w:ascii="Times New Roman" w:hAnsi="Times New Roman" w:cs="Times New Roman"/>
          <w:b/>
          <w:i/>
          <w:sz w:val="24"/>
          <w:szCs w:val="24"/>
        </w:rPr>
      </w:pPr>
    </w:p>
    <w:p w:rsidR="003D4946" w:rsidRPr="003D4946" w:rsidRDefault="003D4946" w:rsidP="00B039E0">
      <w:pPr>
        <w:spacing w:after="0" w:line="240" w:lineRule="auto"/>
        <w:jc w:val="both"/>
        <w:rPr>
          <w:rFonts w:ascii="Times New Roman" w:hAnsi="Times New Roman" w:cs="Times New Roman"/>
          <w:b/>
          <w:i/>
          <w:sz w:val="24"/>
          <w:szCs w:val="24"/>
        </w:rPr>
      </w:pPr>
      <w:r w:rsidRPr="003D4946">
        <w:rPr>
          <w:rFonts w:ascii="Times New Roman" w:hAnsi="Times New Roman" w:cs="Times New Roman"/>
          <w:b/>
          <w:i/>
          <w:sz w:val="24"/>
          <w:szCs w:val="24"/>
        </w:rPr>
        <w:t>Дошкольное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детских садах района на данный момент 242 места. Дошкольные учреждения района на начало 2022 г. посещал 241 ребенок, т.е. около 55 % всех детей района в возрасте от 1 до 6 лет включительно. В г. Новоржев обеспеченность дошкольным образованием превышает норматив (128%), в то же время в сельской местности дошкольным образованием охвачены менее 10% детей. Наблюдается дефицит мест в детских садах: практически все дошкольные учреждения района полностью заполнены. В среднем наполняемость дошкольных учреждений составляет менее 98%. В 3 из 5 зданий детских садов района требуется проведение капитального ремонта.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Обеспеченность детей местами в дошкольных учреждениях по СП 42.13330.2011 должна составлять 85 % от численности детей соответствующей возрастной группы. Согласно «Региональным нормативам градостроительного проектирования Псковской области» № 18 от 20.12.2024 г. (РНГП), местами в дошкольных учреждениях должны быть обеспечены в городах - 85 % детей, в сельской местности – 75 % детей. Поскольку в реальности обычно имеет место более низкий уровень востребованности услуг дошкольных учреждений в сельской местности из-за особенностей сельского образа жизни и необходимости использования транспорта для доставки детей в эти учреждения и обратно домой, для расчета показателей существующей и нормативной обеспеченности в услугах дошкольных учреждений по сельской местности взят норматив 75 % детей в возрасте 1-6 лет.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Таблица 30 - Фактическая и нормативная обеспеченность населения образовательными услугами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370"/>
        <w:gridCol w:w="1397"/>
        <w:gridCol w:w="1179"/>
        <w:gridCol w:w="1371"/>
        <w:gridCol w:w="1397"/>
        <w:gridCol w:w="1179"/>
      </w:tblGrid>
      <w:tr w:rsidR="003D4946" w:rsidRPr="003D4946" w:rsidTr="003D4946">
        <w:trPr>
          <w:trHeight w:val="23"/>
          <w:jc w:val="center"/>
        </w:trPr>
        <w:tc>
          <w:tcPr>
            <w:tcW w:w="990" w:type="pct"/>
            <w:vMerge w:val="restar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Территория</w:t>
            </w:r>
          </w:p>
        </w:tc>
        <w:tc>
          <w:tcPr>
            <w:tcW w:w="2005" w:type="pct"/>
            <w:gridSpan w:val="3"/>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Детские дошкольные учреждения, мест</w:t>
            </w:r>
          </w:p>
        </w:tc>
        <w:tc>
          <w:tcPr>
            <w:tcW w:w="2005" w:type="pct"/>
            <w:gridSpan w:val="3"/>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Общеобразовательные учреждения, мест</w:t>
            </w:r>
          </w:p>
        </w:tc>
      </w:tr>
      <w:tr w:rsidR="003D4946" w:rsidRPr="003D4946" w:rsidTr="003D4946">
        <w:trPr>
          <w:trHeight w:val="23"/>
          <w:jc w:val="center"/>
        </w:trPr>
        <w:tc>
          <w:tcPr>
            <w:tcW w:w="99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фактическая</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нормативная</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от норматива</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фактическая</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нормативная</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от норматива</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Новоржевс</w:t>
            </w:r>
            <w:r w:rsidRPr="003D4946">
              <w:rPr>
                <w:rFonts w:ascii="Times New Roman" w:hAnsi="Times New Roman" w:cs="Times New Roman"/>
                <w:b/>
                <w:bCs/>
                <w:sz w:val="24"/>
                <w:szCs w:val="24"/>
              </w:rPr>
              <w:lastRenderedPageBreak/>
              <w:t>кий район</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245</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354</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69,2%</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1167</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786</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148,5%</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lastRenderedPageBreak/>
              <w:t>ГП Новоржев</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220</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146</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150,6%</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266,1%</w:t>
            </w:r>
          </w:p>
        </w:tc>
      </w:tr>
      <w:tr w:rsidR="003D4946" w:rsidRPr="003D4946" w:rsidTr="003D4946">
        <w:trPr>
          <w:trHeight w:val="23"/>
          <w:jc w:val="center"/>
        </w:trPr>
        <w:tc>
          <w:tcPr>
            <w:tcW w:w="99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Сельские поселения</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25</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208</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12,0%</w:t>
            </w:r>
          </w:p>
        </w:tc>
        <w:tc>
          <w:tcPr>
            <w:tcW w:w="671"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367</w:t>
            </w:r>
          </w:p>
        </w:tc>
        <w:tc>
          <w:tcPr>
            <w:tcW w:w="670"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485</w:t>
            </w:r>
          </w:p>
        </w:tc>
        <w:tc>
          <w:tcPr>
            <w:tcW w:w="664" w:type="pct"/>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75,6%</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Таким образом, в сельской местности отмечается дефицит мест в дошкольных учреждениях. В городском поселении мощности имеющихся учреждений на сегодняшний день достаточны. Вместе с тем, как показывает практика, для городских поселений, являющихся центрами районов, реальная потребность в местах в ДУ часто оказывается несколько выше нормативной, поскольку на детские сады в городской местности ориентируется и близлежащие сельские населенные пункты. Ни одно из сельских поселений не обеспечено достаточным количеством мест в ДОУ. Максимальная обеспеченность среди сельских поселений отмечена в Вехнянской волости (50%). Обеспеченность г. Новоржева составляет 150% от норматива, что позволяет предоставлять места населению ближайших сельских поселений. Тем не менее, в целом по району обеспеченность значительно ниже нормативной (69%).</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Общее среднее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На начало 2022 г. в Новоржеском районе насчитывалось 6 общеобразовательных школ. В их числе 2 средних (СОШ), 1 основная (ООШ) и 3 начальные школы. Согласно данным, предоставленным Администрацией района, здания школ сохранятся на расчетный срок и не требуют капитального ремонта. </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Таблица 31 - Перечень общеобразовательных школ</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71"/>
        <w:gridCol w:w="3017"/>
        <w:gridCol w:w="2071"/>
        <w:gridCol w:w="1084"/>
        <w:gridCol w:w="760"/>
        <w:gridCol w:w="826"/>
      </w:tblGrid>
      <w:tr w:rsidR="003D4946" w:rsidRPr="003D4946" w:rsidTr="003D4946">
        <w:trPr>
          <w:trHeight w:val="20"/>
          <w:tblHeader/>
          <w:jc w:val="center"/>
        </w:trPr>
        <w:tc>
          <w:tcPr>
            <w:tcW w:w="960"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Поселение</w:t>
            </w: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(волость)</w:t>
            </w:r>
          </w:p>
        </w:tc>
        <w:tc>
          <w:tcPr>
            <w:tcW w:w="1673"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Наименование МОУ</w:t>
            </w:r>
          </w:p>
        </w:tc>
        <w:tc>
          <w:tcPr>
            <w:tcW w:w="761"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Местоположение</w:t>
            </w:r>
          </w:p>
        </w:tc>
        <w:tc>
          <w:tcPr>
            <w:tcW w:w="1124" w:type="pct"/>
            <w:gridSpan w:val="2"/>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Вместимость</w:t>
            </w:r>
          </w:p>
        </w:tc>
        <w:tc>
          <w:tcPr>
            <w:tcW w:w="483"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Доля, %</w:t>
            </w:r>
          </w:p>
        </w:tc>
      </w:tr>
      <w:tr w:rsidR="003D4946" w:rsidRPr="003D4946" w:rsidTr="003D4946">
        <w:trPr>
          <w:trHeight w:val="20"/>
          <w:tblHeader/>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761"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Проект</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факт</w:t>
            </w:r>
          </w:p>
        </w:tc>
        <w:tc>
          <w:tcPr>
            <w:tcW w:w="483" w:type="pct"/>
            <w:vMerge/>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0"/>
          <w:jc w:val="center"/>
        </w:trPr>
        <w:tc>
          <w:tcPr>
            <w:tcW w:w="960" w:type="pct"/>
            <w:shd w:val="clear" w:color="auto" w:fill="auto"/>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Городское поселение Новоржев</w:t>
            </w:r>
          </w:p>
        </w:tc>
        <w:tc>
          <w:tcPr>
            <w:tcW w:w="1673"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Новоржевская СОШ</w:t>
            </w:r>
          </w:p>
        </w:tc>
        <w:tc>
          <w:tcPr>
            <w:tcW w:w="761"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 Новоржев</w:t>
            </w:r>
          </w:p>
        </w:tc>
        <w:tc>
          <w:tcPr>
            <w:tcW w:w="648"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800</w:t>
            </w:r>
          </w:p>
        </w:tc>
        <w:tc>
          <w:tcPr>
            <w:tcW w:w="476"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525</w:t>
            </w:r>
          </w:p>
        </w:tc>
        <w:tc>
          <w:tcPr>
            <w:tcW w:w="483" w:type="pct"/>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65</w:t>
            </w:r>
          </w:p>
        </w:tc>
      </w:tr>
      <w:tr w:rsidR="003D4946" w:rsidRPr="003D4946" w:rsidTr="003D4946">
        <w:trPr>
          <w:trHeight w:val="20"/>
          <w:jc w:val="center"/>
        </w:trPr>
        <w:tc>
          <w:tcPr>
            <w:tcW w:w="960" w:type="pct"/>
            <w:vMerge w:val="restar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Сельские поселения</w:t>
            </w: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Выборская СОШ</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Выбор</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45</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56</w:t>
            </w:r>
          </w:p>
        </w:tc>
      </w:tr>
      <w:tr w:rsidR="003D4946" w:rsidRPr="003D4946" w:rsidTr="003D4946">
        <w:trPr>
          <w:trHeight w:val="20"/>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Вескинская начальная школа</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Веска</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80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42</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52</w:t>
            </w:r>
          </w:p>
        </w:tc>
      </w:tr>
      <w:tr w:rsidR="003D4946" w:rsidRPr="003D4946" w:rsidTr="003D4946">
        <w:trPr>
          <w:trHeight w:val="20"/>
          <w:jc w:val="center"/>
        </w:trPr>
        <w:tc>
          <w:tcPr>
            <w:tcW w:w="960" w:type="pct"/>
            <w:vMerge/>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Вехнянская начальная школа</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Вехно</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13</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26</w:t>
            </w:r>
          </w:p>
        </w:tc>
      </w:tr>
      <w:tr w:rsidR="003D4946" w:rsidRPr="003D4946" w:rsidTr="003D4946">
        <w:trPr>
          <w:trHeight w:val="20"/>
          <w:jc w:val="center"/>
        </w:trPr>
        <w:tc>
          <w:tcPr>
            <w:tcW w:w="960" w:type="pct"/>
            <w:vMerge/>
            <w:tcBorders>
              <w:bottom w:val="single" w:sz="4" w:space="0" w:color="auto"/>
            </w:tcBorders>
            <w:vAlign w:val="center"/>
          </w:tcPr>
          <w:p w:rsidR="003D4946" w:rsidRPr="003D4946" w:rsidRDefault="003D4946" w:rsidP="00B039E0">
            <w:pPr>
              <w:spacing w:after="0" w:line="240" w:lineRule="auto"/>
              <w:jc w:val="both"/>
              <w:rPr>
                <w:rFonts w:ascii="Times New Roman" w:hAnsi="Times New Roman" w:cs="Times New Roman"/>
                <w:b/>
                <w:bCs/>
                <w:sz w:val="24"/>
                <w:szCs w:val="24"/>
              </w:rPr>
            </w:pPr>
          </w:p>
        </w:tc>
        <w:tc>
          <w:tcPr>
            <w:tcW w:w="1673" w:type="pct"/>
            <w:tcBorders>
              <w:bottom w:val="single" w:sz="4" w:space="0" w:color="auto"/>
            </w:tcBorders>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Дубровская ООШ</w:t>
            </w:r>
          </w:p>
        </w:tc>
        <w:tc>
          <w:tcPr>
            <w:tcW w:w="761"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д. Дубровы</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20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11</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55</w:t>
            </w:r>
          </w:p>
        </w:tc>
      </w:tr>
      <w:tr w:rsidR="003D4946" w:rsidRPr="003D4946" w:rsidTr="003D4946">
        <w:trPr>
          <w:trHeight w:val="20"/>
          <w:jc w:val="center"/>
        </w:trPr>
        <w:tc>
          <w:tcPr>
            <w:tcW w:w="3394" w:type="pct"/>
            <w:gridSpan w:val="3"/>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Итого</w:t>
            </w:r>
          </w:p>
        </w:tc>
        <w:tc>
          <w:tcPr>
            <w:tcW w:w="648"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1030</w:t>
            </w:r>
          </w:p>
        </w:tc>
        <w:tc>
          <w:tcPr>
            <w:tcW w:w="476"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636</w:t>
            </w:r>
          </w:p>
        </w:tc>
        <w:tc>
          <w:tcPr>
            <w:tcW w:w="483" w:type="pct"/>
            <w:vAlign w:val="center"/>
          </w:tcPr>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60</w:t>
            </w: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Существующие школьные здания рассчитаны на большее число учащихся, чем требуется по нормативу, поэтому везде есть свободные места. На каждые 100 мест в школах района в среднем приходится лишь 61 ученик. Все сельские школы заполнены приблизительно на 50 %. Среднее количество учеников, приходящееся на одну школу в сельской местности – 50 чел.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Низкая наполняемость классов в сельской местности в значительной мере обусловлена плохим транспортным сообщением в сельской местности и отсутствием у ряда школ автобусов для доставки школьников, что препятствует оптимизации сети учреждений.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соответствии со СП 42.13330.2011 необходим 100 % охват детей неполным средним образованием (девятилетняя основная общеобразовательная школа) и 75 % охват детей в старших классах (10-й и 11-й классы) при обучении в одну смену. Такой норматив установлен в связи с тем, что учащиеся старших классов могут получать образование в дневных общеобразовательных школах, колледжах, а также в учреждениях начального профессионального образования или доучиваться в вечерней школе. Нормативно необходимое число мест в школах района составляет примерно 0,79 тыс., занято около </w:t>
      </w:r>
      <w:r w:rsidRPr="003D4946">
        <w:rPr>
          <w:rFonts w:ascii="Times New Roman" w:hAnsi="Times New Roman" w:cs="Times New Roman"/>
          <w:sz w:val="24"/>
          <w:szCs w:val="24"/>
        </w:rPr>
        <w:lastRenderedPageBreak/>
        <w:t>0,63 тыс. Это означает, что часть лиц в возрасте 16-17 лет получает полное среднее образование и обучается специальности за пределами района.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Выводы</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В связи с невысокой современной и перспективной востребованностью школ не требуется расширение их сети. Здания сохраняемых учреждений требуют своевременного проведения капитального ремонта.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Дополнительное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 Новоржевском районе дополнительное образование представлено Новоржевским домом детского творчества, котором ежедневно занимается 200 учащихся, а также МОУ ДОД Детская школа искусств им. Б. С. Трояновского (280 учащихся). Детско-юношеские спортивные школы отсутствуют среди учреждений дополнительного образования района. Новоржевский дом детского творчества находится в плохом техническом состоянии, требуется проведение капитального ремонта.</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Дополнительным образованием в районе охвачены более 20 % учащихся школ. Этот показатель выше нормативного, так как СП 42.13330.2011 дает норму в 20 % от численности школьников. В «Социальных нормативах и нормах» предусмотрена 12 % норма обеспеченности школьников 1-8 классов.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Необходимо проведение капитального ремонта Дома детского творчества. Также, поскольку в районе среди учреждений дополнительного образования отсутствуют детские и юношеские спортивные школы, а обеспеченность населения общедоступными спортивными объектами низкая (спортивные залы, площадки, футбольные поля, волейбольные площадки), то в соответствии с нормативами возможна организация детско-юношеской спортивной школы. По «Социальным нормативам и нормам» (в ред. Распоряжения Правительства РФ от 14.07.2001 № 942-р) норматив охвата занимающихся в детских и юношеских спортивных школах составляет 20% от числа детей и подростков в возрасте 6-15 лет. Следовательно, здание для детско-юношеской спортивной школы, может быть рассчитано на 150-200 человек. Предлагается размещение детско-юношеской спортивной школы на базе проектируемого Физкультурно-оздоровительного комплекса в г.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Профессиональное образование</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Согласно «Региональным нормативам градостроительного проектирования Псковской области». Новоржевский район при современной численности населения может иметь 100 мест в учреждениях начального профобразования, 120 мест в учреждениях среднего профобразования, места в учреждениях высшего профессионального образования (по нормативам, представленным в Методике определения нормативной потребности субъектов РФ в объектах социальной инфраструктуры</w:t>
      </w:r>
      <w:r w:rsidRPr="003D4946">
        <w:rPr>
          <w:rFonts w:ascii="Times New Roman" w:hAnsi="Times New Roman" w:cs="Times New Roman"/>
          <w:sz w:val="24"/>
          <w:szCs w:val="24"/>
          <w:vertAlign w:val="superscript"/>
        </w:rPr>
        <w:footnoteReference w:id="2"/>
      </w:r>
      <w:r w:rsidRPr="003D4946">
        <w:rPr>
          <w:rFonts w:ascii="Times New Roman" w:hAnsi="Times New Roman" w:cs="Times New Roman"/>
          <w:sz w:val="24"/>
          <w:szCs w:val="24"/>
        </w:rPr>
        <w:t xml:space="preserve"> 1110, 160 и 170 мест, соответственно). Однако в эти цифры входит то, что можно было бы назвать «квотой района в учреждениях регионального и федерального значения». Размещение государственных учреждений высшего профобразования в районе в настоящее время нецелесообразно. Возможно размещение учреждений начального профессионального образования – профессионального училища или лицея, в первую очередь, возобновление деятельности Профессионального училища. Следует также рассматривать вопрос о размещении курсов по повышению квалификации работников, занятых в основных для района видах экономической деятельности.</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Проектом внесения изменений в схему территориального планирования предлагается:</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Мероприятия на первую очередь:</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 Организация дошкольных групп при начальных школах </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Мероприятия на расчетный срок:</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Строительство нового здания для детского сада в городе 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lastRenderedPageBreak/>
        <w:t>- Размещение детско-юношеской спортивной школы на базе проектируемого Физкультурно-оздоровительного комплекса а городе Новоржев.</w:t>
      </w:r>
    </w:p>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center"/>
        <w:rPr>
          <w:rFonts w:ascii="Times New Roman" w:hAnsi="Times New Roman" w:cs="Times New Roman"/>
          <w:b/>
          <w:bCs/>
          <w:sz w:val="24"/>
          <w:szCs w:val="24"/>
        </w:rPr>
      </w:pPr>
      <w:bookmarkStart w:id="74" w:name="_Toc216434251"/>
      <w:r w:rsidRPr="003D4946">
        <w:rPr>
          <w:rFonts w:ascii="Times New Roman" w:hAnsi="Times New Roman" w:cs="Times New Roman"/>
          <w:b/>
          <w:bCs/>
          <w:sz w:val="24"/>
          <w:szCs w:val="24"/>
        </w:rPr>
        <w:t>3.7.2. Здравоохранение</w:t>
      </w:r>
      <w:bookmarkEnd w:id="74"/>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Медицинская помощь населению осуществляется филиалом «Новоржевский» ГБУЗ ПО «Островская межрайонная больница», в состав которого входят поликлиника, терапевтическое отделение, дневной стационар при стационаре терапевтического профиля и дневной стационар при стационаре педиатрического профиля.</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Перечень всех медицинских учреждений (больницы, стационары всех видов и амбулаторно-поликлинические объекты (фельдшерско-акушерский пункты, амбулатории, офисы врача общей практики и т.п) с включением ведомственных учреждений (больницы и медпункты предприятий ми т.п):</w:t>
      </w:r>
    </w:p>
    <w:p w:rsidR="003D4946" w:rsidRPr="003D4946" w:rsidRDefault="003D4946" w:rsidP="00B039E0">
      <w:pPr>
        <w:spacing w:after="0" w:line="240" w:lineRule="auto"/>
        <w:jc w:val="both"/>
        <w:rPr>
          <w:rFonts w:ascii="Times New Roman" w:hAnsi="Times New Roman" w:cs="Times New Roman"/>
          <w:b/>
          <w:bCs/>
          <w:sz w:val="24"/>
          <w:szCs w:val="24"/>
        </w:rPr>
      </w:pPr>
      <w:r w:rsidRPr="003D4946">
        <w:rPr>
          <w:rFonts w:ascii="Times New Roman" w:hAnsi="Times New Roman" w:cs="Times New Roman"/>
          <w:b/>
          <w:bCs/>
          <w:sz w:val="24"/>
          <w:szCs w:val="24"/>
        </w:rPr>
        <w:t xml:space="preserve">Таблица 32 – Перечень медицинских объединений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7"/>
        <w:gridCol w:w="1943"/>
        <w:gridCol w:w="1834"/>
        <w:gridCol w:w="763"/>
        <w:gridCol w:w="674"/>
        <w:gridCol w:w="1588"/>
        <w:gridCol w:w="1714"/>
      </w:tblGrid>
      <w:tr w:rsidR="003D4946" w:rsidRPr="003D4946" w:rsidTr="003D4946">
        <w:trPr>
          <w:trHeight w:val="23"/>
          <w:tblHeader/>
          <w:jc w:val="center"/>
        </w:trPr>
        <w:tc>
          <w:tcPr>
            <w:tcW w:w="388"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 xml:space="preserve"> № п/п</w:t>
            </w:r>
          </w:p>
        </w:tc>
        <w:tc>
          <w:tcPr>
            <w:tcW w:w="1052"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Наименование медицинского учреждения, его филиалов и структурных подразделений с указанием ведомственной принадлежности</w:t>
            </w:r>
          </w:p>
        </w:tc>
        <w:tc>
          <w:tcPr>
            <w:tcW w:w="993"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Местоположение (адрес, населенный пункт) встроенное или отдельно стоящее здание (если встроенное, то куда)</w:t>
            </w:r>
          </w:p>
        </w:tc>
        <w:tc>
          <w:tcPr>
            <w:tcW w:w="1638" w:type="pct"/>
            <w:gridSpan w:val="3"/>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Вместимость учреждения</w:t>
            </w:r>
          </w:p>
        </w:tc>
        <w:tc>
          <w:tcPr>
            <w:tcW w:w="928"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Примечание</w:t>
            </w:r>
          </w:p>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(техническое состояние существующего здания, строящийся объект, намечено строительство, реконструкция, снос, требуется перенос на другую площадку - указать причину и др.)</w:t>
            </w:r>
          </w:p>
        </w:tc>
      </w:tr>
      <w:tr w:rsidR="003D4946" w:rsidRPr="003D4946" w:rsidTr="003D4946">
        <w:trPr>
          <w:trHeight w:val="23"/>
          <w:tblHeader/>
          <w:jc w:val="center"/>
        </w:trPr>
        <w:tc>
          <w:tcPr>
            <w:tcW w:w="38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52"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778" w:type="pct"/>
            <w:gridSpan w:val="2"/>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Стационары, (больничные койки, места в дневных стационарах</w:t>
            </w:r>
          </w:p>
        </w:tc>
        <w:tc>
          <w:tcPr>
            <w:tcW w:w="860"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Поликлиники, амбулатории- посещения в смену по проекту, ФАП - посещения в смену (факт)</w:t>
            </w:r>
          </w:p>
        </w:tc>
        <w:tc>
          <w:tcPr>
            <w:tcW w:w="92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tblHeader/>
          <w:jc w:val="center"/>
        </w:trPr>
        <w:tc>
          <w:tcPr>
            <w:tcW w:w="38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1052"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проект</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факт</w:t>
            </w:r>
          </w:p>
        </w:tc>
        <w:tc>
          <w:tcPr>
            <w:tcW w:w="860"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ГБУЗ ПО «Островская межрайонная больница»</w:t>
            </w:r>
          </w:p>
        </w:tc>
        <w:tc>
          <w:tcPr>
            <w:tcW w:w="993" w:type="pct"/>
            <w:vMerge w:val="restar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Псковская область</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г.Новоржев</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ул.Медицинская, д 2</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Филиал «Новоржевский»</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Поликлиника</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145/250</w:t>
            </w: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2</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Больница</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терапевтическое отделение</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30/15</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30/15</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дневной стационар при стационаре терапевтического профиля</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5</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дневной стационар при стационаре педиатрического профиля</w:t>
            </w:r>
          </w:p>
        </w:tc>
        <w:tc>
          <w:tcPr>
            <w:tcW w:w="993" w:type="pct"/>
            <w:vMerge/>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10/6</w:t>
            </w: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10/6</w:t>
            </w: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3</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д.3аречье</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д.Заречье</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lastRenderedPageBreak/>
              <w:t>4</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д.Вехно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д.Вехно, в здании школы</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552"/>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5</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Веска</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д.Веска, в 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6</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д.Дубровы</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Дубровы, в здании школы</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7</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Жадрицы</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Жадрицы, в 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Возведен в 2023 г.</w:t>
            </w: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8</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Барута</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Барута</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Возведен в 2024 г.</w:t>
            </w: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9</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Макарово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д.Макарово</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10</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Стехново</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 д. Стехново, в здании администрации</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11</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ФАП д. Выбор</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Новоржевский районД.Выбор, ул. Школьная,2Б</w:t>
            </w: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r w:rsidR="003D4946" w:rsidRPr="003D4946" w:rsidTr="003D4946">
        <w:trPr>
          <w:trHeight w:val="23"/>
          <w:jc w:val="center"/>
        </w:trPr>
        <w:tc>
          <w:tcPr>
            <w:tcW w:w="38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b/>
                <w:sz w:val="24"/>
                <w:szCs w:val="24"/>
              </w:rPr>
            </w:pPr>
            <w:r w:rsidRPr="003D4946">
              <w:rPr>
                <w:rFonts w:ascii="Times New Roman" w:hAnsi="Times New Roman" w:cs="Times New Roman"/>
                <w:b/>
                <w:sz w:val="24"/>
                <w:szCs w:val="24"/>
              </w:rPr>
              <w:t>12</w:t>
            </w:r>
          </w:p>
        </w:tc>
        <w:tc>
          <w:tcPr>
            <w:tcW w:w="1052"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Передвижной мобильный ФАП</w:t>
            </w:r>
          </w:p>
        </w:tc>
        <w:tc>
          <w:tcPr>
            <w:tcW w:w="99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413"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364"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860"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c>
          <w:tcPr>
            <w:tcW w:w="928" w:type="pct"/>
            <w:tcBorders>
              <w:tl2br w:val="nil"/>
              <w:tr2bl w:val="nil"/>
            </w:tcBorders>
            <w:shd w:val="clear" w:color="auto" w:fill="auto"/>
            <w:vAlign w:val="center"/>
          </w:tcPr>
          <w:p w:rsidR="003D4946" w:rsidRPr="003D4946" w:rsidRDefault="003D4946" w:rsidP="00B039E0">
            <w:pPr>
              <w:spacing w:after="0" w:line="240" w:lineRule="auto"/>
              <w:jc w:val="both"/>
              <w:rPr>
                <w:rFonts w:ascii="Times New Roman" w:hAnsi="Times New Roman" w:cs="Times New Roman"/>
                <w:sz w:val="24"/>
                <w:szCs w:val="24"/>
              </w:rPr>
            </w:pPr>
          </w:p>
        </w:tc>
      </w:tr>
    </w:tbl>
    <w:p w:rsidR="003D4946" w:rsidRPr="003D4946" w:rsidRDefault="003D4946" w:rsidP="00B039E0">
      <w:pPr>
        <w:spacing w:after="0" w:line="240" w:lineRule="auto"/>
        <w:jc w:val="both"/>
        <w:rPr>
          <w:rFonts w:ascii="Times New Roman" w:hAnsi="Times New Roman" w:cs="Times New Roman"/>
          <w:sz w:val="24"/>
          <w:szCs w:val="24"/>
        </w:rPr>
      </w:pP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Степень обеспеченности населения медицинскими услугами можно оценить исходя из нормативов СП 42.13330.2011 и «Социальных нормативов и норм» (в ред. Распоряжения Правительства РФ от 14.07.2001 № 942-р). В СП 42.13330.2011 по поводу этой группы </w:t>
      </w:r>
      <w:r w:rsidRPr="003D4946">
        <w:rPr>
          <w:rFonts w:ascii="Times New Roman" w:hAnsi="Times New Roman" w:cs="Times New Roman"/>
          <w:sz w:val="24"/>
          <w:szCs w:val="24"/>
        </w:rPr>
        <w:lastRenderedPageBreak/>
        <w:t>социальных нормативов сказано: «определяются органами здравоохранения и указываются в задании на проектирование». На каждые 10 тыс. населения необходимо иметь 41 врача и 114,3 единицы среднего медицинского персонала. Мощность больниц по «Социальным нормативам и нормам» определяется исходя из 13,47 коек на 1 тыс. населения. По «Программе государственных гарантий оказания гражданам Российской Федерации бесплатной медицинской помощи на 2011 г.» необходима обеспеченность больничными койками 8,4 на тысячу жителей, амбулаторно-поликлиническим обслуживанием – 20,1 пос. в смену на тысячу жителей. Данные нормативы соответствуют и «Региональным нормативам градостроительного проектирования Псковской области» от 20.12.2024 г.</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Обеспеченность населения района больничными койками составляет 80% от нормативного уровня (табл. 4.7.11.). Обеспеченность врачебным персоналом составляет 57,1% от норматива. Показатель обеспеченности средним медицинским персоналом составляет 82,3% от норматива. Текущий уровень обеспеченности койками допустим лишь при наличии хорошей транспортной доступности стационаров межрайонного или областного значения, в данном случае функции такого центра выполняет г. Остров и г. Псков. Численность врачебного персонала недостаточна, это является одной из главных проблем нормального функционирования учреждений здравоохранения, что зачастую приводит к закрытию ФАПов по причине неукомплектованности кадрами.</w:t>
      </w:r>
    </w:p>
    <w:p w:rsidR="003D4946" w:rsidRPr="003D4946" w:rsidRDefault="003D4946" w:rsidP="00B039E0">
      <w:pPr>
        <w:spacing w:after="0" w:line="240" w:lineRule="auto"/>
        <w:jc w:val="both"/>
        <w:rPr>
          <w:rFonts w:ascii="Times New Roman" w:hAnsi="Times New Roman" w:cs="Times New Roman"/>
          <w:sz w:val="24"/>
          <w:szCs w:val="24"/>
        </w:rPr>
      </w:pPr>
      <w:r w:rsidRPr="003D4946">
        <w:rPr>
          <w:rFonts w:ascii="Times New Roman" w:hAnsi="Times New Roman" w:cs="Times New Roman"/>
          <w:sz w:val="24"/>
          <w:szCs w:val="24"/>
        </w:rPr>
        <w:t xml:space="preserve">Согласно Постановлению правительства Псковской области от 13.03.2023 №103 «О внесении изменений в региональную программу «Модернизация первичного звена здравоохранения Псковской области» </w:t>
      </w:r>
    </w:p>
    <w:p w:rsidR="003D4946" w:rsidRPr="003D4946" w:rsidRDefault="003D4946" w:rsidP="003D4946">
      <w:pPr>
        <w:rPr>
          <w:rFonts w:ascii="Times New Roman" w:hAnsi="Times New Roman" w:cs="Times New Roman"/>
          <w:sz w:val="24"/>
          <w:szCs w:val="24"/>
        </w:rPr>
      </w:pPr>
    </w:p>
    <w:p w:rsidR="003D4946" w:rsidRPr="003D4946" w:rsidRDefault="003D4946" w:rsidP="003D4946">
      <w:pPr>
        <w:rPr>
          <w:rFonts w:ascii="Times New Roman" w:hAnsi="Times New Roman" w:cs="Times New Roman"/>
          <w:sz w:val="24"/>
          <w:szCs w:val="24"/>
        </w:rPr>
      </w:pPr>
    </w:p>
    <w:p w:rsidR="003D4946" w:rsidRDefault="003D4946"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pPr>
    </w:p>
    <w:p w:rsidR="00B039E0" w:rsidRDefault="00B039E0" w:rsidP="001A68B2">
      <w:pPr>
        <w:rPr>
          <w:rFonts w:ascii="Times New Roman" w:hAnsi="Times New Roman" w:cs="Times New Roman"/>
          <w:sz w:val="24"/>
          <w:szCs w:val="24"/>
        </w:rPr>
        <w:sectPr w:rsidR="00B039E0" w:rsidSect="001A68B2">
          <w:pgSz w:w="11906" w:h="16838"/>
          <w:pgMar w:top="1134" w:right="992" w:bottom="1134" w:left="1701" w:header="709" w:footer="709" w:gutter="0"/>
          <w:cols w:space="708"/>
          <w:docGrid w:linePitch="360"/>
        </w:sectPr>
      </w:pPr>
    </w:p>
    <w:p w:rsidR="00B039E0" w:rsidRPr="00B039E0" w:rsidRDefault="00B039E0" w:rsidP="00B039E0">
      <w:pPr>
        <w:spacing w:after="0" w:line="240" w:lineRule="auto"/>
        <w:rPr>
          <w:rFonts w:ascii="Times New Roman" w:hAnsi="Times New Roman" w:cs="Times New Roman"/>
          <w:b/>
          <w:sz w:val="24"/>
          <w:szCs w:val="24"/>
        </w:rPr>
      </w:pPr>
      <w:r w:rsidRPr="00B039E0">
        <w:rPr>
          <w:rFonts w:ascii="Times New Roman" w:hAnsi="Times New Roman" w:cs="Times New Roman"/>
          <w:b/>
          <w:sz w:val="24"/>
          <w:szCs w:val="24"/>
        </w:rPr>
        <w:lastRenderedPageBreak/>
        <w:t>Таблица 33 - Перечень мероприятий, запланированных в рамках программы «Модернизация первичного звена здравоохранения Псковской области» на территории Новоржевского района</w:t>
      </w:r>
    </w:p>
    <w:tbl>
      <w:tblPr>
        <w:tblStyle w:val="aa"/>
        <w:tblW w:w="5000" w:type="pct"/>
        <w:jc w:val="center"/>
        <w:tblLook w:val="04A0" w:firstRow="1" w:lastRow="0" w:firstColumn="1" w:lastColumn="0" w:noHBand="0" w:noVBand="1"/>
      </w:tblPr>
      <w:tblGrid>
        <w:gridCol w:w="590"/>
        <w:gridCol w:w="2380"/>
        <w:gridCol w:w="2853"/>
        <w:gridCol w:w="2014"/>
        <w:gridCol w:w="890"/>
        <w:gridCol w:w="2079"/>
        <w:gridCol w:w="2167"/>
        <w:gridCol w:w="1813"/>
      </w:tblGrid>
      <w:tr w:rsidR="00B039E0" w:rsidRPr="00B039E0" w:rsidTr="005D2FF0">
        <w:trPr>
          <w:trHeight w:val="23"/>
          <w:tblHeader/>
          <w:jc w:val="center"/>
        </w:trPr>
        <w:tc>
          <w:tcPr>
            <w:tcW w:w="203"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 п/п</w:t>
            </w:r>
          </w:p>
        </w:tc>
        <w:tc>
          <w:tcPr>
            <w:tcW w:w="808"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Наименование юридического лица (полностью)</w:t>
            </w:r>
          </w:p>
        </w:tc>
        <w:tc>
          <w:tcPr>
            <w:tcW w:w="943"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Наименование объекта</w:t>
            </w:r>
          </w:p>
        </w:tc>
        <w:tc>
          <w:tcPr>
            <w:tcW w:w="684"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Адрес объекта</w:t>
            </w:r>
          </w:p>
        </w:tc>
        <w:tc>
          <w:tcPr>
            <w:tcW w:w="304"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Износ (%)</w:t>
            </w:r>
          </w:p>
        </w:tc>
        <w:tc>
          <w:tcPr>
            <w:tcW w:w="70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Планируемое мероприятие (реконструкция, строительство взамен существующего, новое строительство)</w:t>
            </w:r>
          </w:p>
        </w:tc>
        <w:tc>
          <w:tcPr>
            <w:tcW w:w="73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Количество населения, обслуживаемое медицинской организацией (структурным подразделением), чел</w:t>
            </w:r>
          </w:p>
        </w:tc>
        <w:tc>
          <w:tcPr>
            <w:tcW w:w="616" w:type="pct"/>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Мощность планируемого объекта (посещений в смену, койко-мест для стационаров)</w:t>
            </w:r>
          </w:p>
        </w:tc>
      </w:tr>
      <w:tr w:rsidR="00B039E0" w:rsidRPr="00B039E0" w:rsidTr="005D2FF0">
        <w:trPr>
          <w:trHeight w:val="23"/>
          <w:jc w:val="center"/>
        </w:trPr>
        <w:tc>
          <w:tcPr>
            <w:tcW w:w="5000" w:type="pct"/>
            <w:gridSpan w:val="8"/>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Строительство (реконструкция) медицинских организаций, подведомственных исполнительным органам Псковской области, и (или) муниципальных медицинских организаций, расположенных на территории Псковской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149</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д.Вёска, ул. Центральная, б/н</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229</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12</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150</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 xml:space="preserve">Филиал «Новоржевский» государственного бюджетного учреждения здравоохранения Псковской области «Островская межрайонная </w:t>
            </w:r>
            <w:r w:rsidRPr="00B039E0">
              <w:rPr>
                <w:rFonts w:ascii="Times New Roman" w:hAnsi="Times New Roman" w:cs="Times New Roman"/>
                <w:sz w:val="24"/>
                <w:szCs w:val="24"/>
              </w:rPr>
              <w:lastRenderedPageBreak/>
              <w:t>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lastRenderedPageBreak/>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д.Вехно, ул. Центральная, 119</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504</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20</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lastRenderedPageBreak/>
              <w:t>156</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 Стехново, ул. Центральная, 25</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100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строительство взамен существующего</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179</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w:t>
            </w:r>
          </w:p>
        </w:tc>
      </w:tr>
      <w:tr w:rsidR="00B039E0" w:rsidRPr="00B039E0" w:rsidTr="005D2FF0">
        <w:trPr>
          <w:trHeight w:val="23"/>
          <w:jc w:val="center"/>
        </w:trPr>
        <w:tc>
          <w:tcPr>
            <w:tcW w:w="5000" w:type="pct"/>
            <w:gridSpan w:val="8"/>
            <w:vAlign w:val="center"/>
          </w:tcPr>
          <w:p w:rsidR="00B039E0" w:rsidRPr="00B039E0" w:rsidRDefault="00B039E0" w:rsidP="00B039E0">
            <w:pPr>
              <w:rPr>
                <w:rFonts w:ascii="Times New Roman" w:hAnsi="Times New Roman" w:cs="Times New Roman"/>
                <w:b/>
                <w:sz w:val="24"/>
                <w:szCs w:val="24"/>
              </w:rPr>
            </w:pPr>
            <w:r w:rsidRPr="00B039E0">
              <w:rPr>
                <w:rFonts w:ascii="Times New Roman" w:hAnsi="Times New Roman" w:cs="Times New Roman"/>
                <w:b/>
                <w:sz w:val="24"/>
                <w:szCs w:val="24"/>
              </w:rPr>
              <w:t>КАПИТАЛЬНЫЙ РЕМОНТ медицинских организаций, подведомственных исполнительным органам Псковской области, и (или) муниципальных медицинских организаций, расположенных на территории Псковской области, оказывающих первичную медикосанитарную помощь взрослым и детям, их обособленных структурных подразделений, центральных районных и районных больниц</w:t>
            </w:r>
          </w:p>
        </w:tc>
      </w:tr>
      <w:tr w:rsidR="00B039E0" w:rsidRPr="00B039E0" w:rsidTr="005D2FF0">
        <w:trPr>
          <w:trHeight w:val="23"/>
          <w:jc w:val="center"/>
        </w:trPr>
        <w:tc>
          <w:tcPr>
            <w:tcW w:w="20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80</w:t>
            </w:r>
          </w:p>
        </w:tc>
        <w:tc>
          <w:tcPr>
            <w:tcW w:w="808"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Филиал «Новоржевский» государственного бюджетного учреждения здравоохранения Псковской области «Островская межрайонная больница»</w:t>
            </w:r>
          </w:p>
        </w:tc>
        <w:tc>
          <w:tcPr>
            <w:tcW w:w="943"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Фельдшерскоакушерский пункт</w:t>
            </w:r>
          </w:p>
        </w:tc>
        <w:tc>
          <w:tcPr>
            <w:tcW w:w="68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Псковская область, р-н Новоржевский, д. Макарово, ул. Центральная, 11</w:t>
            </w:r>
          </w:p>
        </w:tc>
        <w:tc>
          <w:tcPr>
            <w:tcW w:w="304"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70</w:t>
            </w:r>
          </w:p>
        </w:tc>
        <w:tc>
          <w:tcPr>
            <w:tcW w:w="70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капитальный ремонт</w:t>
            </w:r>
          </w:p>
        </w:tc>
        <w:tc>
          <w:tcPr>
            <w:tcW w:w="73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281</w:t>
            </w:r>
          </w:p>
        </w:tc>
        <w:tc>
          <w:tcPr>
            <w:tcW w:w="616" w:type="pct"/>
            <w:vAlign w:val="center"/>
          </w:tcPr>
          <w:p w:rsidR="00B039E0" w:rsidRPr="00B039E0" w:rsidRDefault="00B039E0" w:rsidP="00B039E0">
            <w:pPr>
              <w:rPr>
                <w:rFonts w:ascii="Times New Roman" w:hAnsi="Times New Roman" w:cs="Times New Roman"/>
                <w:sz w:val="24"/>
                <w:szCs w:val="24"/>
              </w:rPr>
            </w:pPr>
            <w:r w:rsidRPr="00B039E0">
              <w:rPr>
                <w:rFonts w:ascii="Times New Roman" w:hAnsi="Times New Roman" w:cs="Times New Roman"/>
                <w:sz w:val="24"/>
                <w:szCs w:val="24"/>
              </w:rPr>
              <w:t>15</w:t>
            </w:r>
          </w:p>
        </w:tc>
      </w:tr>
    </w:tbl>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lastRenderedPageBreak/>
        <w:t>* - номер мероприятия приведен в соответствии с приложением №2 к Постановлению №103 от 13.03.2023 «О внесении изменений в региональную программу «Модернизация первичного звена здравоохранения Псковской области».</w:t>
      </w:r>
    </w:p>
    <w:p w:rsidR="00B039E0" w:rsidRPr="00B039E0" w:rsidRDefault="00B039E0" w:rsidP="00B039E0">
      <w:pPr>
        <w:spacing w:after="0" w:line="240" w:lineRule="auto"/>
        <w:rPr>
          <w:rFonts w:ascii="Times New Roman" w:hAnsi="Times New Roman" w:cs="Times New Roman"/>
          <w:sz w:val="24"/>
          <w:szCs w:val="24"/>
        </w:rPr>
      </w:pPr>
    </w:p>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 xml:space="preserve">Таблица 34 - Фактическая и нормативная обеспеченность населения услугами стационаров, амбулаторно-поликлинических учреждений и медицинским персоналом в 2022 г. </w:t>
      </w:r>
    </w:p>
    <w:tbl>
      <w:tblPr>
        <w:tblW w:w="5000" w:type="pct"/>
        <w:jc w:val="center"/>
        <w:tblLook w:val="04A0" w:firstRow="1" w:lastRow="0" w:firstColumn="1" w:lastColumn="0" w:noHBand="0" w:noVBand="1"/>
      </w:tblPr>
      <w:tblGrid>
        <w:gridCol w:w="7116"/>
        <w:gridCol w:w="2556"/>
        <w:gridCol w:w="2556"/>
        <w:gridCol w:w="2558"/>
      </w:tblGrid>
      <w:tr w:rsidR="00B039E0" w:rsidRPr="00B039E0" w:rsidTr="005D2FF0">
        <w:trPr>
          <w:trHeight w:val="23"/>
          <w:tblHeader/>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Показатель</w:t>
            </w:r>
          </w:p>
        </w:tc>
        <w:tc>
          <w:tcPr>
            <w:tcW w:w="864"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фактическая</w:t>
            </w:r>
          </w:p>
        </w:tc>
        <w:tc>
          <w:tcPr>
            <w:tcW w:w="864"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нормативная</w:t>
            </w:r>
          </w:p>
        </w:tc>
        <w:tc>
          <w:tcPr>
            <w:tcW w:w="865" w:type="pct"/>
            <w:tcBorders>
              <w:top w:val="single" w:sz="8" w:space="0" w:color="auto"/>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b/>
                <w:bCs/>
                <w:sz w:val="24"/>
                <w:szCs w:val="24"/>
              </w:rPr>
            </w:pPr>
            <w:r w:rsidRPr="00B039E0">
              <w:rPr>
                <w:rFonts w:ascii="Times New Roman" w:hAnsi="Times New Roman" w:cs="Times New Roman"/>
                <w:b/>
                <w:bCs/>
                <w:sz w:val="24"/>
                <w:szCs w:val="24"/>
              </w:rPr>
              <w:t>% от норматива</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коек в стационарных учреждениях</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45</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57</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80,0</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Амбулаторно-поликлинические учреждения, посещений в смену на 1 тыс. жителей</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145</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250</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58,0</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врачебного персонала, чел.</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14</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57,1</w:t>
            </w:r>
          </w:p>
        </w:tc>
      </w:tr>
      <w:tr w:rsidR="00B039E0" w:rsidRPr="00B039E0" w:rsidTr="005D2FF0">
        <w:trPr>
          <w:trHeight w:val="23"/>
          <w:jc w:val="center"/>
        </w:trPr>
        <w:tc>
          <w:tcPr>
            <w:tcW w:w="2406" w:type="pct"/>
            <w:tcBorders>
              <w:top w:val="single" w:sz="8" w:space="0" w:color="auto"/>
              <w:left w:val="single" w:sz="8" w:space="0" w:color="auto"/>
              <w:bottom w:val="single" w:sz="8" w:space="0" w:color="auto"/>
              <w:right w:val="single" w:sz="8" w:space="0" w:color="000000"/>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Количество среднего медицинского персонала, чел</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42</w:t>
            </w:r>
          </w:p>
        </w:tc>
        <w:tc>
          <w:tcPr>
            <w:tcW w:w="864"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51</w:t>
            </w:r>
          </w:p>
        </w:tc>
        <w:tc>
          <w:tcPr>
            <w:tcW w:w="865" w:type="pct"/>
            <w:tcBorders>
              <w:top w:val="nil"/>
              <w:left w:val="nil"/>
              <w:bottom w:val="single" w:sz="8" w:space="0" w:color="auto"/>
              <w:right w:val="single" w:sz="8" w:space="0" w:color="auto"/>
            </w:tcBorders>
            <w:shd w:val="clear" w:color="auto" w:fill="auto"/>
            <w:vAlign w:val="center"/>
          </w:tcPr>
          <w:p w:rsidR="00B039E0" w:rsidRPr="00B039E0" w:rsidRDefault="00B039E0" w:rsidP="00B039E0">
            <w:pPr>
              <w:spacing w:after="0" w:line="240" w:lineRule="auto"/>
              <w:rPr>
                <w:rFonts w:ascii="Times New Roman" w:hAnsi="Times New Roman" w:cs="Times New Roman"/>
                <w:sz w:val="24"/>
                <w:szCs w:val="24"/>
              </w:rPr>
            </w:pPr>
            <w:r w:rsidRPr="00B039E0">
              <w:rPr>
                <w:rFonts w:ascii="Times New Roman" w:hAnsi="Times New Roman" w:cs="Times New Roman"/>
                <w:sz w:val="24"/>
                <w:szCs w:val="24"/>
              </w:rPr>
              <w:t>82,3</w:t>
            </w:r>
          </w:p>
        </w:tc>
      </w:tr>
    </w:tbl>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pPr>
    </w:p>
    <w:p w:rsidR="00B039E0" w:rsidRDefault="00B039E0" w:rsidP="00B039E0">
      <w:pPr>
        <w:spacing w:after="0" w:line="240" w:lineRule="auto"/>
        <w:rPr>
          <w:rFonts w:ascii="Times New Roman" w:hAnsi="Times New Roman" w:cs="Times New Roman"/>
          <w:sz w:val="24"/>
          <w:szCs w:val="24"/>
        </w:rPr>
        <w:sectPr w:rsidR="00B039E0" w:rsidSect="00B039E0">
          <w:pgSz w:w="16838" w:h="11906" w:orient="landscape"/>
          <w:pgMar w:top="1701" w:right="1134" w:bottom="992" w:left="1134" w:header="709" w:footer="709" w:gutter="0"/>
          <w:cols w:space="708"/>
          <w:docGrid w:linePitch="360"/>
        </w:sectPr>
      </w:pP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lastRenderedPageBreak/>
        <w:t xml:space="preserve">Мощность поликлиники при филиале межрайонной больницы составляет 145 посещений в смену. Нормативный показатель составляет 250 посещения в смену. Таким образом, обеспеченность поликлиническим обслуживанием района можно считать достаточной.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Обеспеченность поликлиническим обслуживанием в районе соответствует нормативному значению. С учетом того, что часть специализированной медицинской помощи оказывается в учреждениях здравоохранения Острова и Пскова, численность медицинского персонала района может быть немного ниже нормативной. С учетом развития стационар-заменяющих технологий и некоторого сокращения больничных коек в больничных учреждениях, особо актуально улучшения качества амбулаторно-поликлинических услуг. Также необходимо поддерживать материально-техническую базу учреждений здравоохранения.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На перспективу в Новоржевском районе при сохранении численности населения 7,3-7,5 тыс. человек общая мощность больничных учреждений по СП 42.13330.2011 должна достигать показателя 102 койки, по Программе государственных гарантий оказания гражданам Российской Федерации бесплатной медицинской помощи – 79 (в том числе - 63 койки в больничном стационаре). Поскольку часть специализированной медицинской помощи оказывается в больницах городов Остров и Псков, в филиале «Новоржевский» ГБУЗ ПО «Островская межрайонная больница» на расчетный срок расширение стационара не требуется. Мощность амбулаторно-поликлинических учреждений – 145 посещений в смену.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 xml:space="preserve">В районе велика доля населения в возрасте старше трудоспособного, обращаемость которого за первичной медицинской помощью существенно выше, чем в других возрастных группах. Сокращение сети медучреждений первичного звена также не отвечает основной тенденции в развитии здравоохранения, которая связана с расширением ранней диагностической и профилактической помощи населению в целях сокращения необходимости в дорогостоящем стационарном лечении пациентов с запущенными стадиями болезней. Поэтому снижение мощности амбулаторно-поликлинических учреждений до уровня менее 145-250 посещений в смену является нежелательным. В сельской местности необходимо сохранение и укрепление сети ФАП во всех волостях. </w:t>
      </w:r>
    </w:p>
    <w:p w:rsidR="00A428CF" w:rsidRPr="00A428CF" w:rsidRDefault="00A428CF" w:rsidP="00A428CF">
      <w:pPr>
        <w:spacing w:after="0" w:line="240" w:lineRule="auto"/>
        <w:jc w:val="both"/>
        <w:rPr>
          <w:rFonts w:ascii="Times New Roman" w:hAnsi="Times New Roman" w:cs="Times New Roman"/>
          <w:sz w:val="24"/>
          <w:szCs w:val="24"/>
        </w:rPr>
      </w:pPr>
      <w:r w:rsidRPr="00A428CF">
        <w:rPr>
          <w:rFonts w:ascii="Times New Roman" w:hAnsi="Times New Roman" w:cs="Times New Roman"/>
          <w:sz w:val="24"/>
          <w:szCs w:val="24"/>
        </w:rPr>
        <w:t>Конкретизация необходимого объема медицинской помощи населению по ее видам в соответствии с региональными и местными потребностями является сферой компетенции Министерства здравоохранения Псковской области. Высвобождающиеся мощности поликлиники при филиале межрайонной больницы могут быть переориентированы на обслуживание сезонного населения. При ряде ФАП района целесообразно организовать функционирование аптечных пунктов.</w:t>
      </w:r>
    </w:p>
    <w:p w:rsidR="00B039E0" w:rsidRDefault="00B039E0" w:rsidP="00B039E0">
      <w:pPr>
        <w:spacing w:after="0" w:line="240" w:lineRule="auto"/>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5" w:name="_Toc216434252"/>
      <w:r w:rsidRPr="005D2FF0">
        <w:rPr>
          <w:rFonts w:ascii="Times New Roman" w:hAnsi="Times New Roman" w:cs="Times New Roman"/>
          <w:b/>
          <w:bCs/>
          <w:sz w:val="24"/>
          <w:szCs w:val="24"/>
        </w:rPr>
        <w:t>3.7.3. Социальная защита населения</w:t>
      </w:r>
      <w:bookmarkEnd w:id="75"/>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Функции социальной защиты населения – это полномочия субъекта Российской Федерации. На территории Новоржевского района расположены 3 государственных учреждения социального обслуживания населения.</w:t>
      </w:r>
    </w:p>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Таблица 35 - Перечень учреждений социальной защиты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6300"/>
        <w:gridCol w:w="2071"/>
      </w:tblGrid>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 п/п</w:t>
            </w:r>
          </w:p>
        </w:tc>
        <w:tc>
          <w:tcPr>
            <w:tcW w:w="6300" w:type="dxa"/>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Наименование</w:t>
            </w:r>
          </w:p>
        </w:tc>
        <w:tc>
          <w:tcPr>
            <w:tcW w:w="0" w:type="auto"/>
            <w:vAlign w:val="center"/>
          </w:tcPr>
          <w:p w:rsidR="005D2FF0" w:rsidRPr="005D2FF0" w:rsidRDefault="005D2FF0" w:rsidP="005D2FF0">
            <w:pPr>
              <w:spacing w:after="0" w:line="240" w:lineRule="auto"/>
              <w:rPr>
                <w:rFonts w:ascii="Times New Roman" w:hAnsi="Times New Roman" w:cs="Times New Roman"/>
                <w:b/>
                <w:sz w:val="24"/>
                <w:szCs w:val="24"/>
              </w:rPr>
            </w:pPr>
            <w:r w:rsidRPr="005D2FF0">
              <w:rPr>
                <w:rFonts w:ascii="Times New Roman" w:hAnsi="Times New Roman" w:cs="Times New Roman"/>
                <w:b/>
                <w:sz w:val="24"/>
                <w:szCs w:val="24"/>
              </w:rPr>
              <w:t>Местоположение</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w:t>
            </w:r>
          </w:p>
        </w:tc>
        <w:tc>
          <w:tcPr>
            <w:tcW w:w="6300" w:type="dxa"/>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ГКУСО «Центр социального обслуживания Новоржевского района»</w:t>
            </w:r>
          </w:p>
        </w:tc>
        <w:tc>
          <w:tcPr>
            <w:tcW w:w="0" w:type="auto"/>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г. Новоржев</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w:t>
            </w:r>
          </w:p>
        </w:tc>
        <w:tc>
          <w:tcPr>
            <w:tcW w:w="6300"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ГБУСО «Новоржевский дом-интернат для престарелых и инвалидов»</w:t>
            </w:r>
          </w:p>
        </w:tc>
        <w:tc>
          <w:tcPr>
            <w:tcW w:w="0" w:type="auto"/>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w:t>
            </w:r>
          </w:p>
        </w:tc>
      </w:tr>
      <w:tr w:rsidR="005D2FF0" w:rsidRPr="005D2FF0" w:rsidTr="005D2FF0">
        <w:trPr>
          <w:trHeight w:val="23"/>
          <w:jc w:val="center"/>
        </w:trPr>
        <w:tc>
          <w:tcPr>
            <w:tcW w:w="658"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3.</w:t>
            </w:r>
          </w:p>
        </w:tc>
        <w:tc>
          <w:tcPr>
            <w:tcW w:w="6300" w:type="dxa"/>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ГКУСО «Межрайонный социально-реабилитационный центр для несовершеннолетних Новоржевского района»</w:t>
            </w:r>
          </w:p>
        </w:tc>
        <w:tc>
          <w:tcPr>
            <w:tcW w:w="0" w:type="auto"/>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w:t>
            </w:r>
          </w:p>
        </w:tc>
      </w:tr>
    </w:tbl>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 xml:space="preserve">В настоящее время вместимость дома-интерната для престарелых и инвалидов несколько меньше нормативной: по «Социальным нормативам и нормам» полагается 30 мест на 10 тыс. жителей. В перспективе в связи с сокращением численности населения района его вместимость будет отвечать нормативу.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связи с высоким уровнем угроз пожароопасности в учреждениях социальной сферы с круглосуточным пребыванием людей пожилого возраста в генеральном плане городского поселения «Новоржев» при его разработке необходимо предусматривать дополнительные меры пожарной безопасности.</w:t>
      </w:r>
    </w:p>
    <w:p w:rsid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информации Главного государственного управления социальной защиты населения Псковской области на территории Новоржевского района создание новых государственных учреждений социального обслуживания не планируется.</w:t>
      </w:r>
      <w:r w:rsidRPr="005D2FF0">
        <w:rPr>
          <w:rFonts w:ascii="Times New Roman" w:hAnsi="Times New Roman" w:cs="Times New Roman"/>
          <w:sz w:val="24"/>
          <w:szCs w:val="24"/>
        </w:rPr>
        <w:tab/>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6" w:name="_Toc216434253"/>
      <w:r w:rsidRPr="005D2FF0">
        <w:rPr>
          <w:rFonts w:ascii="Times New Roman" w:hAnsi="Times New Roman" w:cs="Times New Roman"/>
          <w:b/>
          <w:bCs/>
          <w:sz w:val="24"/>
          <w:szCs w:val="24"/>
        </w:rPr>
        <w:t>3.7.4. Культурно-досуговая деятельность</w:t>
      </w:r>
      <w:bookmarkEnd w:id="76"/>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Организация досуга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Учреждения культуры по данным Адмнистрации Новоржевского района в настоящее время на рассматриваемой территории представляют собой сеть учреждений культуры - МУК «Новоржевский РКК» с 6 филиалами: 5 сельскими домами культуры (СДК), 1 сельским клубом (СК) </w:t>
      </w:r>
    </w:p>
    <w:p w:rsidR="005D2FF0" w:rsidRPr="005D2FF0" w:rsidRDefault="005D2FF0" w:rsidP="005D2FF0">
      <w:pPr>
        <w:spacing w:after="0" w:line="240" w:lineRule="auto"/>
        <w:rPr>
          <w:rFonts w:ascii="Times New Roman" w:hAnsi="Times New Roman" w:cs="Times New Roman"/>
          <w:b/>
          <w:bCs/>
          <w:sz w:val="24"/>
          <w:szCs w:val="24"/>
        </w:rPr>
      </w:pP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Таблица 36 - Перечень объектов культуры</w:t>
      </w:r>
    </w:p>
    <w:tbl>
      <w:tblPr>
        <w:tblW w:w="5000" w:type="pct"/>
        <w:jc w:val="center"/>
        <w:tblCellMar>
          <w:left w:w="40" w:type="dxa"/>
          <w:right w:w="40" w:type="dxa"/>
        </w:tblCellMar>
        <w:tblLook w:val="04A0" w:firstRow="1" w:lastRow="0" w:firstColumn="1" w:lastColumn="0" w:noHBand="0" w:noVBand="1"/>
      </w:tblPr>
      <w:tblGrid>
        <w:gridCol w:w="494"/>
        <w:gridCol w:w="1842"/>
        <w:gridCol w:w="2450"/>
        <w:gridCol w:w="1273"/>
        <w:gridCol w:w="1388"/>
        <w:gridCol w:w="766"/>
        <w:gridCol w:w="1080"/>
      </w:tblGrid>
      <w:tr w:rsidR="005D2FF0" w:rsidRPr="005D2FF0" w:rsidTr="005D2FF0">
        <w:trPr>
          <w:trHeight w:val="20"/>
          <w:tblHeader/>
          <w:jc w:val="center"/>
        </w:trPr>
        <w:tc>
          <w:tcPr>
            <w:tcW w:w="266"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 п/п</w:t>
            </w:r>
          </w:p>
        </w:tc>
        <w:tc>
          <w:tcPr>
            <w:tcW w:w="991"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Наименование</w:t>
            </w:r>
          </w:p>
        </w:tc>
        <w:tc>
          <w:tcPr>
            <w:tcW w:w="1318"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Адрес</w:t>
            </w:r>
          </w:p>
        </w:tc>
        <w:tc>
          <w:tcPr>
            <w:tcW w:w="685"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Ед-цыизмер.</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Проектная ёмкость объектов</w:t>
            </w: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Год ввода</w:t>
            </w:r>
          </w:p>
        </w:tc>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Степень износа</w:t>
            </w: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w:t>
            </w:r>
          </w:p>
        </w:tc>
        <w:tc>
          <w:tcPr>
            <w:tcW w:w="4734"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Библиотеки</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1.1</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Здание бывшей Центральной библиотеки</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библиотеки г. Новоржев, ул. Рабоче- крестьянская, дом 67, 2 этаж</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2003</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1.2</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Выборская сельская модельная библиотека</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деревня 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9</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2012</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1.3</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Вишлевская сельская модельная библиотека</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д.Вишлево, ул.Центральная, д.10</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1991</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w:t>
            </w:r>
          </w:p>
        </w:tc>
        <w:tc>
          <w:tcPr>
            <w:tcW w:w="4734"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Дома культуры</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2.1</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Районный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г. Новоржев, ул. Германа, д.65</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1150,3 м.кв.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1965</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2.2</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Макаровский сельский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 Макарово</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1992</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2.3</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Стехновский сельский клуб</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д.Стехново, ул.Центральная, д.7</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1977</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2.4</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Жадрицкий сельский Дом 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д.Жадрицы</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480 м. кв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2007</w:t>
            </w: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2.5</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 xml:space="preserve">Выборский сельский Дом </w:t>
            </w:r>
            <w:r w:rsidRPr="005D2FF0">
              <w:rPr>
                <w:rFonts w:ascii="Times New Roman" w:hAnsi="Times New Roman" w:cs="Times New Roman"/>
                <w:sz w:val="24"/>
                <w:szCs w:val="24"/>
              </w:rPr>
              <w:lastRenderedPageBreak/>
              <w:t>культуры</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lastRenderedPageBreak/>
              <w:t>д.Выбор,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lastRenderedPageBreak/>
              <w:t>2.6</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Вескинский СДК</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д.Веска, ул. Центральная, д.18</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50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r w:rsidR="005D2FF0" w:rsidRPr="005D2FF0" w:rsidTr="005D2FF0">
        <w:trPr>
          <w:trHeight w:val="20"/>
          <w:jc w:val="center"/>
        </w:trPr>
        <w:tc>
          <w:tcPr>
            <w:tcW w:w="2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2.7</w:t>
            </w:r>
          </w:p>
        </w:tc>
        <w:tc>
          <w:tcPr>
            <w:tcW w:w="99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Зареченский СК</w:t>
            </w:r>
          </w:p>
        </w:tc>
        <w:tc>
          <w:tcPr>
            <w:tcW w:w="131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д.Заречье, д.57</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Мест</w:t>
            </w:r>
          </w:p>
        </w:tc>
        <w:tc>
          <w:tcPr>
            <w:tcW w:w="74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50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c>
          <w:tcPr>
            <w:tcW w:w="581"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bl>
    <w:p w:rsid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Дома культуры (сельские клубы)</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Общая мощность культурно-досуговых учреждений составляет 1,3 тыс. мест. По СП 42.13330.2011 необходимо предусматривать 80 мест учреждениях клубного типа на 1 тыс. жителей, согласно РНГП Псковской области, для населенных пунктов людностью менее 500 жителей требуется наличие 300 мест в клубах или учреждениях клубного типа, от 500 до 1000 жителей – 200 мест. При людности от 1 до 3 тыс. жителей – наличие 150 зрительских мест в расчете на каждую тысячу жителей. Для городского поселения Новоржев норматив составляет 100 мест на 1 тыс. жителей.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Обеспеченность местами в учреждениях культуры в городском поселении соответствует нормативу. Соответственно, по сельской местности и в целом по району обеспеченность местами в клубных учреждениях также превышает нормативно необходимое значение.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Особое внимание стоит уделить материально-технической базе учреждений культуры. Практически все здания нуждаются в капитальном ремонте. На расчетный срок все учреждения сохранятся.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Общедоступные библиотеки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Согласно СП 42.13330.2011 норматив обеспеченности библиотечными фондами для сельских населенных пунктов и их групп людностью 5-10 тыс. человек составляет 4,5-5 тыс. единиц хранения на тысячу жителей.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Норматив для городского поселения составляет примерно 6 тыс. единиц хранения на каждую 1000 жителей с учетом повышающего коэффициента для центральной городской библиотеки. Кроме того, на все население района в центральной библиотеке района необходимо иметь дополнительно 4,5-5 тыс. экз. на каждую тысячу жителей. Даже с учетом дополнительных 50 тыс. экземпляров книжный фонд библиотечных учреждений района является избыточным. </w:t>
      </w:r>
    </w:p>
    <w:p w:rsidR="005D2FF0" w:rsidRPr="005D2FF0" w:rsidRDefault="005D2FF0" w:rsidP="005D2FF0">
      <w:pPr>
        <w:spacing w:after="0" w:line="240" w:lineRule="auto"/>
        <w:rPr>
          <w:rFonts w:ascii="Times New Roman" w:hAnsi="Times New Roman" w:cs="Times New Roman"/>
          <w:sz w:val="24"/>
          <w:szCs w:val="24"/>
        </w:rPr>
      </w:pP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Таблица 37 - Перечень библиотечных учреждений культуры</w:t>
      </w:r>
    </w:p>
    <w:tbl>
      <w:tblPr>
        <w:tblW w:w="5000" w:type="pct"/>
        <w:jc w:val="center"/>
        <w:tblCellMar>
          <w:left w:w="40" w:type="dxa"/>
          <w:right w:w="40" w:type="dxa"/>
        </w:tblCellMar>
        <w:tblLook w:val="04A0" w:firstRow="1" w:lastRow="0" w:firstColumn="1" w:lastColumn="0" w:noHBand="0" w:noVBand="1"/>
      </w:tblPr>
      <w:tblGrid>
        <w:gridCol w:w="498"/>
        <w:gridCol w:w="1816"/>
        <w:gridCol w:w="2526"/>
        <w:gridCol w:w="1273"/>
        <w:gridCol w:w="1362"/>
        <w:gridCol w:w="766"/>
        <w:gridCol w:w="1052"/>
      </w:tblGrid>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 п/п</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Наименование</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Адрес</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Ед-цыизмер.</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Проектная ёмкость объектов</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Год ввода</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Степень износа</w:t>
            </w:r>
          </w:p>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1.1</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бывшей Центральной библиотеки</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Здание библиотеки г. Новоржев, ул. Рабоче- крестьянская, дом 67, 2 этаж</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Cs/>
                <w:sz w:val="24"/>
                <w:szCs w:val="24"/>
              </w:rPr>
            </w:pPr>
            <w:r w:rsidRPr="005D2FF0">
              <w:rPr>
                <w:rFonts w:ascii="Times New Roman" w:hAnsi="Times New Roman" w:cs="Times New Roman"/>
                <w:bCs/>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2003</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1.2</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Выборская сельская модельная библиотека</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деревня Выбор, ул.Школьная, 2А</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9</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2012</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100</w:t>
            </w:r>
          </w:p>
        </w:tc>
      </w:tr>
      <w:tr w:rsidR="005D2FF0" w:rsidRPr="005D2FF0" w:rsidTr="005D2FF0">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b/>
                <w:bCs/>
                <w:sz w:val="24"/>
                <w:szCs w:val="24"/>
              </w:rPr>
            </w:pPr>
            <w:r w:rsidRPr="005D2FF0">
              <w:rPr>
                <w:rFonts w:ascii="Times New Roman" w:hAnsi="Times New Roman" w:cs="Times New Roman"/>
                <w:b/>
                <w:bCs/>
                <w:sz w:val="24"/>
                <w:szCs w:val="24"/>
              </w:rPr>
              <w:t>1.3</w:t>
            </w:r>
          </w:p>
        </w:tc>
        <w:tc>
          <w:tcPr>
            <w:tcW w:w="977"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Вишлевская сельская модельная библиотека</w:t>
            </w:r>
          </w:p>
        </w:tc>
        <w:tc>
          <w:tcPr>
            <w:tcW w:w="1359"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Новоржевский район, д.Вишлево, ул.Центральная, д.10</w:t>
            </w:r>
          </w:p>
        </w:tc>
        <w:tc>
          <w:tcPr>
            <w:tcW w:w="685"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Тыс.томов</w:t>
            </w:r>
          </w:p>
        </w:tc>
        <w:tc>
          <w:tcPr>
            <w:tcW w:w="733"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10</w:t>
            </w:r>
          </w:p>
        </w:tc>
        <w:tc>
          <w:tcPr>
            <w:tcW w:w="412"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r w:rsidRPr="005D2FF0">
              <w:rPr>
                <w:rFonts w:ascii="Times New Roman" w:hAnsi="Times New Roman" w:cs="Times New Roman"/>
                <w:sz w:val="24"/>
                <w:szCs w:val="24"/>
              </w:rPr>
              <w:t>1991</w:t>
            </w:r>
          </w:p>
        </w:tc>
        <w:tc>
          <w:tcPr>
            <w:tcW w:w="566" w:type="pct"/>
            <w:tcBorders>
              <w:top w:val="single" w:sz="6" w:space="0" w:color="auto"/>
              <w:left w:val="single" w:sz="6" w:space="0" w:color="auto"/>
              <w:bottom w:val="single" w:sz="6" w:space="0" w:color="auto"/>
              <w:right w:val="single" w:sz="6" w:space="0" w:color="auto"/>
            </w:tcBorders>
            <w:shd w:val="clear" w:color="auto" w:fill="FFFFFF"/>
            <w:vAlign w:val="center"/>
          </w:tcPr>
          <w:p w:rsidR="005D2FF0" w:rsidRPr="005D2FF0" w:rsidRDefault="005D2FF0" w:rsidP="005D2FF0">
            <w:pPr>
              <w:spacing w:after="0" w:line="240" w:lineRule="auto"/>
              <w:rPr>
                <w:rFonts w:ascii="Times New Roman" w:hAnsi="Times New Roman" w:cs="Times New Roman"/>
                <w:sz w:val="24"/>
                <w:szCs w:val="24"/>
              </w:rPr>
            </w:pPr>
          </w:p>
        </w:tc>
      </w:tr>
    </w:tbl>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В целом в сельской местности района нормативные показатели обеспеченности населения книжным фондом общедоступных библиотек существенно превышены. Выше нормативного уровня и обеспеченность местами в учреждениях клубного типа.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 xml:space="preserve">Вопрос создания условий для организации досуга и обеспечения жителей услугами организаций культуры по закону «Об общих принципах организации местного самоуправления в Российской Федерации» № 131-ФЗ отнесен к сфере вопросов местного значения поселения. Поэтому окончательное определение необходимого числа сохраняемых клубных учреждений и их вместимости является компетенцией генеральных планов и программ социально-экономического развития поселений.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соответствии со стабилизационным сценарием развития территории потребность в учреждениях клубного типа и библиотеках на расчетный срок предлагается сохранить на современном уровне.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В капитальном ремонте нуждаются все клубные и библиотечные учреждения с пополнением фондов современными изданиями.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Военно-исторический музей- заповедник</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На территории муниципального образования Новоржевский район расположен один объект, находящийся в ведении государственного учреждения Псковской области, функции и полномочия учредителя в отношении которого осуществляет Комитет по культуре Псковской области, - ГБУК ПО «Военно-исторический музей- заповедник».</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Сведения об объекте: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Полное наименование: Музей истории Новоржевского края - филиал государственного бюджетного учреждения культуры Псковской области «Военно-исторический музей-заповедник».</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Местоположение: Псковская область, г. Новоржев, ул. Германа, д.40.</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Фактическая емкость: 19 000 единиц хранения.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Год ввода здания в эксплуатацию: 1979.</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Год проведения капитального ремонта или реконструкции: 2011- 2012 и 2021 частичный капитальный ремонт.</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Процент износа: 44,5 %.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sz w:val="24"/>
          <w:szCs w:val="24"/>
        </w:rPr>
        <w:t>Ликвидация, реконструкция либо строительство нового здания не планируется</w:t>
      </w:r>
      <w:r w:rsidRPr="005D2FF0">
        <w:rPr>
          <w:rFonts w:ascii="Times New Roman" w:hAnsi="Times New Roman" w:cs="Times New Roman"/>
          <w:b/>
          <w:bCs/>
          <w:sz w:val="24"/>
          <w:szCs w:val="24"/>
        </w:rPr>
        <w:t>.</w:t>
      </w:r>
    </w:p>
    <w:p w:rsid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7" w:name="_Toc216434254"/>
      <w:r w:rsidRPr="005D2FF0">
        <w:rPr>
          <w:rFonts w:ascii="Times New Roman" w:hAnsi="Times New Roman" w:cs="Times New Roman"/>
          <w:b/>
          <w:bCs/>
          <w:sz w:val="24"/>
          <w:szCs w:val="24"/>
        </w:rPr>
        <w:t>3.7.5. Спортивная деятельность</w:t>
      </w:r>
      <w:bookmarkEnd w:id="77"/>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Для занятий физической культурой и спортом в Новоржевском районе имеются муниципальные спортивные сооружения: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 -стадион с трибунами - 1;</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плоскостные спортивные сооружения - 15;</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спортивные залы - 5</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Обеспеченность спортивными залами можно оценить исходя из «Методики определения нормативной потребности субъектов Российской Федерации в объектах социальной инфраструктуры», где нормативная величина определяется как 3,5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на 10 тыс. чел. Суммарная площадь спортивных залов района составляет 0,886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т.е. около 25 % от необходимой по нормативу площади, кроме того, спортивные залы при школах не вполне отвечают понятию общедоступности.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то же время, обеспеченность населения Новоржевского района закрытыми спортивными залами крайне низкая. На расчетный срок Проектом схемы территориального планирования рекомендуется дополнительно построить не менее 1,7-2 тыс.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суммарной площади пола спортивных залов.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Объединение физкультурно-спортивных сооружений сети общего пользования со спортивными объектами образовательных школ обеспечивает более равномерное использование этих сооружений в течение суток и года, позволяет не увеличивать общую потребность в их мощности сверх значений, определенных нормативом.</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Постановлением от 28 декабря 2023 года №232 Об утверждении муниципальной программы «Сохранение и укрепление общественного здоровья населения Новоржевского муниципального округа» на период 2024-2028 годы планируется реконструкция стадиона и организация работы ФОКОТа в г. Новоржев.</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bookmarkStart w:id="78" w:name="_Toc216434255"/>
      <w:r w:rsidRPr="005D2FF0">
        <w:rPr>
          <w:rFonts w:ascii="Times New Roman" w:hAnsi="Times New Roman" w:cs="Times New Roman"/>
          <w:b/>
          <w:bCs/>
          <w:sz w:val="24"/>
          <w:szCs w:val="24"/>
        </w:rPr>
        <w:t>3.7.6. Религиозные объекты</w:t>
      </w:r>
      <w:bookmarkEnd w:id="78"/>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Религиозные объекты и центры, места паломничества – отдельная группа функционально самостоятельных объектов культурного наследия, имеющих большое значение в сохранении и развитии исторических и духовных традиций страны, просвещения, духовного образования, развития культурно-познавательного туризма.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данным Псковской и Великолукской епархии в настоящее время в Новоржевском районе имеются 5 действующих православных церквей и 2 часовни, а также 6 недействующих храмов и 3 часовни, в том числе памятники архитектуры и градостроительства, требующие реставрации или восстановления Среди объектов культурного наследия и объектов, имеющих соответствующие признаки, числятся 10 объектов церковной архитектуры федерального, регионального и местного значения.</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38 - Культовые объекты Новоржевского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2155"/>
        <w:gridCol w:w="1656"/>
        <w:gridCol w:w="3681"/>
      </w:tblGrid>
      <w:tr w:rsidR="005D2FF0" w:rsidRPr="005D2FF0" w:rsidTr="005D2FF0">
        <w:trPr>
          <w:trHeight w:val="23"/>
          <w:tblHeader/>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Объекты</w:t>
            </w:r>
          </w:p>
        </w:tc>
        <w:tc>
          <w:tcPr>
            <w:tcW w:w="1143"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Местоположение</w:t>
            </w:r>
          </w:p>
        </w:tc>
        <w:tc>
          <w:tcPr>
            <w:tcW w:w="878"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Время постройки</w:t>
            </w:r>
          </w:p>
        </w:tc>
        <w:tc>
          <w:tcPr>
            <w:tcW w:w="1952"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Примечание</w:t>
            </w:r>
          </w:p>
        </w:tc>
      </w:tr>
      <w:tr w:rsidR="005D2FF0" w:rsidRPr="005D2FF0" w:rsidTr="005D2FF0">
        <w:trPr>
          <w:trHeight w:val="23"/>
          <w:jc w:val="center"/>
        </w:trPr>
        <w:tc>
          <w:tcPr>
            <w:tcW w:w="5000" w:type="pct"/>
            <w:gridSpan w:val="4"/>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sz w:val="24"/>
                <w:szCs w:val="24"/>
              </w:rPr>
              <w:t>Действующие церкви и часовни</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Рождества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 Новоржев, на городском кладбище</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1999г. (на месте церкви 1792г.)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Номер в едином государственном реестре объектов культурного наследия (памятников истории и культуры) народов Российской Федерации 601510243970005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Покрова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Барута</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1762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«Ансамбль Покровской церкви», номер в ЕГР ОКН 601620418190006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Спаса Преображения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Вехно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1758-1763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«Ансамбль Преображенской церкви», номер в ЕГР ОКН 601620418250006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1996-1997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Заход</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1998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Неизвестная 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Плавно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2001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Посадниково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2005-2006</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Церковь Успения Пресвятой </w:t>
            </w:r>
            <w:r w:rsidRPr="005D2FF0">
              <w:rPr>
                <w:rFonts w:ascii="Times New Roman" w:hAnsi="Times New Roman" w:cs="Times New Roman"/>
                <w:sz w:val="24"/>
                <w:szCs w:val="24"/>
              </w:rPr>
              <w:lastRenderedPageBreak/>
              <w:t>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 Столбушино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1787 г. </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Объект культурного наследия регионального значения «Церковь Успения с </w:t>
            </w:r>
            <w:r w:rsidRPr="005D2FF0">
              <w:rPr>
                <w:rFonts w:ascii="Times New Roman" w:hAnsi="Times New Roman" w:cs="Times New Roman"/>
                <w:sz w:val="24"/>
                <w:szCs w:val="24"/>
              </w:rPr>
              <w:lastRenderedPageBreak/>
              <w:t>колокольней», номер в ЕГР ОКН 601510279790005</w:t>
            </w:r>
          </w:p>
        </w:tc>
      </w:tr>
      <w:tr w:rsidR="005D2FF0" w:rsidRPr="005D2FF0" w:rsidTr="005D2FF0">
        <w:trPr>
          <w:trHeight w:val="23"/>
          <w:jc w:val="center"/>
        </w:trPr>
        <w:tc>
          <w:tcPr>
            <w:tcW w:w="5000" w:type="pct"/>
            <w:gridSpan w:val="4"/>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bCs/>
                <w:sz w:val="24"/>
                <w:szCs w:val="24"/>
              </w:rPr>
              <w:lastRenderedPageBreak/>
              <w:t>Недействующие церкви</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1807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номер в ЕГР ОКН 601510244290005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Троицы Живоначальной</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Гривино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1751-1757 гг.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Троицы с колокольней», номер в ЕГР ОКН 601510244800005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Воскресения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Ладино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1768 гг. </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Воскресения с колокольней», номер в ЕГР ОКН 601510280090005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 Параскевы Пятницы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б.д. Богданово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Успения Пресвятой Богородицы</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Лукино, Лобно, урочище</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1815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Неизвестная 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Лукино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1906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Не является объектом культурного наследия</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Казанской иконы Божией Матери</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Посадниково</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1739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федерального значения «Казанская церковь», номер в ЕГР ОКН 601610418230006</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Церковь Воскресения Христова</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Сторожня</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1777 г.</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«Церковь Воскресения с колокольней», номер в ЕГР ОКН 601510244700005</w:t>
            </w:r>
          </w:p>
        </w:tc>
      </w:tr>
      <w:tr w:rsidR="005D2FF0" w:rsidRPr="005D2FF0" w:rsidTr="005D2FF0">
        <w:trPr>
          <w:trHeight w:val="23"/>
          <w:jc w:val="center"/>
        </w:trPr>
        <w:tc>
          <w:tcPr>
            <w:tcW w:w="1027"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Часовня</w:t>
            </w:r>
          </w:p>
        </w:tc>
        <w:tc>
          <w:tcPr>
            <w:tcW w:w="1143"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Большая Слобода</w:t>
            </w:r>
          </w:p>
        </w:tc>
        <w:tc>
          <w:tcPr>
            <w:tcW w:w="878"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XIX в.</w:t>
            </w:r>
          </w:p>
        </w:tc>
        <w:tc>
          <w:tcPr>
            <w:tcW w:w="1952" w:type="pct"/>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Объект культурного наследия регионального значения «Часовня», номер в ЕГР ОКН 601510244460005</w:t>
            </w:r>
          </w:p>
        </w:tc>
      </w:tr>
    </w:tbl>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Расположение наиболее значимых культовых объектов соответствует системе расселения, сформировавшейся на территории современного Новоржевского района в прошлом. В районе имеется ряд старинных сел и деревень. В сочетании с культурной значимостью и выполнением главной функции села (в понимании этого термина) как локального религиозного центра можно особо выделить сельские населенные пункты (в настоящее время деревни) Барута, Вехно, Столбушино, Выбор, Гривино, Ладино, Лукино, Посадниково, Сторожня. Наиболее старым культовым объектом района является в настоящее время недействующий храм в д. Посадниково – Церковь Казанской иконы Божией Матери - объект культурного наследия регионального значения.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В настоящее время из-за более разнообразной конфессиональной структуры населения и не вполне определенного отношения населения к религии в целом, сложно определить потребность населения в храмах, в т.ч. просчитать необходимую вместимость объекта по приходам. Однако в целом можно предположить, что в городском и крупных сельских населенных пунктах потребность в культовых объектах возрастет и возникнет необходимость строительства нескольких новых храмов или часовен. В сельской местности необходимо передавать недействующие храмы (в т.ч. памятники архитектуры) в ведение РПЦ. Первоочередной задачей является восстановление существующих в плачевном состоянии или строительство новых православных храмов в центрах сельских поселений.</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соответствии со сводом правил по проектированию и строительству зданий, сооружений и комплексов православных храмов</w:t>
      </w:r>
      <w:r w:rsidRPr="005D2FF0">
        <w:rPr>
          <w:rFonts w:ascii="Times New Roman" w:hAnsi="Times New Roman" w:cs="Times New Roman"/>
          <w:sz w:val="24"/>
          <w:szCs w:val="24"/>
          <w:vertAlign w:val="superscript"/>
        </w:rPr>
        <w:footnoteReference w:id="3"/>
      </w:r>
      <w:r w:rsidRPr="005D2FF0">
        <w:rPr>
          <w:rFonts w:ascii="Times New Roman" w:hAnsi="Times New Roman" w:cs="Times New Roman"/>
          <w:sz w:val="24"/>
          <w:szCs w:val="24"/>
        </w:rPr>
        <w:t xml:space="preserve"> комплексы православных храмов по своему функциональному назначению подразделяются на епархиальные центры, духовные миссии, приходские и монастырские комплексы и на храмы в составе комплексов, зданий и сооружений общественного и жилого назначения. Их размещение, примерный состав, основной и дополнительный набор зданий, сооружений и помещений приведен в СП 31-103-99. При определении числа и состава храмовых комплексов, их вместимости храмов в центрах систем расселения рекомендуется дополнительно учитывать приезжающих из других городских и сельских поселений, расположенных в зоне, ограниченной затратами времени на дорогу в город-центр до 2 ч.</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Храмы в сельских поселениях рекомендуется размещать исходя из национального и возрастного состава населения, из расчета пешеходной доступности в пределах 0,5 ч. При численности группы православного населения менее 50 человек храмы рекомендуется предусматривать на группу сельских поселений с транспортно-пешеходной доступностью в пределах 2 ч.</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настоящем проекте указываются населенные пункты, где возможно строительство храмов. Земельные участки, необходимые для этого строительства, должны быть выделены в генпланах соответствующих поселений. Они могут быть включены в селитебные территории и внутренние парковые зоны населенных пунктов. Более детальное обоснование размещения возможно на этапе разработки генеральных планов поселений и отдельных населенных пунктов. Выбор участков на селитебной территории рекомендуется производить с учетом обеспечения доминантной роли храма в формировании окружающей застройки. Предпочтительны участки с повышенным рельефом, ориентированные по осям магистральных дорог. Необходим учет конфигурации участков, характера застройки соседних участков и градостроительных условий местности.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Территории для строительства храмовых комплексов, расположенных за пределами границ городских и сельских населенных пунктов, должны отводиться на основе генерального плана соответствующего поселения и проекта храма. В на основании рассчитанной потребности представлен свод предлагаемых проектом новых храмовых сооружений с учетом перспективной численности населения сельских и городских поселений.</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Важным вопросом на местном уровне является сохранность памятников церковной архитектуры, многие из которых находятся в бедственном положении, а зачастую в руинированном состоянии. Некоторые из полуразрушенных храмов располагаются в непосредственной близости к перспективным площадкам гражданского строительства и могут быть использованы в качестве основных или дополнительных храмовых комплексов в селитебных территориях, а также в крупных селах и рекреационных центрах.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На основе проведенного анализа, схемой территориального планирования рекомендуются мероприятия, которые могут оказать благотворное влияние на развитие муниципального района.</w:t>
      </w:r>
    </w:p>
    <w:p w:rsid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39 - Мероприятия по перспективному строительству и восстановлению культовых объектов (носят рекомендательный характер)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673"/>
        <w:gridCol w:w="1971"/>
        <w:gridCol w:w="2227"/>
        <w:gridCol w:w="2029"/>
      </w:tblGrid>
      <w:tr w:rsidR="005D2FF0" w:rsidRPr="005D2FF0" w:rsidTr="005D2FF0">
        <w:trPr>
          <w:tblHeade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Объекты</w:t>
            </w:r>
          </w:p>
        </w:tc>
        <w:tc>
          <w:tcPr>
            <w:tcW w:w="88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Население</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(в окрестностях населенного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пункта) на </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2008 г., чел. </w:t>
            </w:r>
          </w:p>
        </w:tc>
        <w:tc>
          <w:tcPr>
            <w:tcW w:w="1045"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Минимальная вместимость</w:t>
            </w: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храмовых комплексов, чел.</w:t>
            </w:r>
          </w:p>
        </w:tc>
        <w:tc>
          <w:tcPr>
            <w:tcW w:w="1181"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Местоположение, населенный пункт</w:t>
            </w:r>
          </w:p>
        </w:tc>
        <w:tc>
          <w:tcPr>
            <w:tcW w:w="1077" w:type="pct"/>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Примечание</w:t>
            </w:r>
          </w:p>
        </w:tc>
      </w:tr>
      <w:tr w:rsidR="005D2FF0" w:rsidRPr="005D2FF0" w:rsidTr="005D2FF0">
        <w:trPr>
          <w:jc w:val="center"/>
        </w:trPr>
        <w:tc>
          <w:tcPr>
            <w:tcW w:w="5000" w:type="pct"/>
            <w:gridSpan w:val="5"/>
            <w:vAlign w:val="center"/>
          </w:tcPr>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Новое строительство</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Храм</w:t>
            </w:r>
          </w:p>
        </w:tc>
        <w:tc>
          <w:tcPr>
            <w:tcW w:w="88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370</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Веска</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первую очередь</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239</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Заречье</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350</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Стехново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Храм</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459</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Макарово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81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Часовня</w:t>
            </w:r>
          </w:p>
        </w:tc>
        <w:tc>
          <w:tcPr>
            <w:tcW w:w="88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304</w:t>
            </w:r>
          </w:p>
        </w:tc>
        <w:tc>
          <w:tcPr>
            <w:tcW w:w="1045"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50</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Дубровы</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Строительство на расчетный срок</w:t>
            </w:r>
          </w:p>
        </w:tc>
      </w:tr>
      <w:tr w:rsidR="005D2FF0" w:rsidRPr="005D2FF0" w:rsidTr="005D2FF0">
        <w:trPr>
          <w:jc w:val="center"/>
        </w:trPr>
        <w:tc>
          <w:tcPr>
            <w:tcW w:w="5000" w:type="pct"/>
            <w:gridSpan w:val="5"/>
            <w:vAlign w:val="center"/>
          </w:tcPr>
          <w:p w:rsidR="005D2FF0" w:rsidRPr="005D2FF0" w:rsidRDefault="005D2FF0" w:rsidP="005D2FF0">
            <w:pPr>
              <w:spacing w:after="0" w:line="240" w:lineRule="auto"/>
              <w:jc w:val="both"/>
              <w:rPr>
                <w:rFonts w:ascii="Times New Roman" w:hAnsi="Times New Roman" w:cs="Times New Roman"/>
                <w:b/>
                <w:iCs/>
                <w:sz w:val="24"/>
                <w:szCs w:val="24"/>
              </w:rPr>
            </w:pPr>
            <w:r w:rsidRPr="005D2FF0">
              <w:rPr>
                <w:rFonts w:ascii="Times New Roman" w:hAnsi="Times New Roman" w:cs="Times New Roman"/>
                <w:b/>
                <w:iCs/>
                <w:sz w:val="24"/>
                <w:szCs w:val="24"/>
              </w:rPr>
              <w:t>Восстановление (реставрация) существующих церквей</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Воскресения Христова</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Ладино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Казанской иконы Божией Матери</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Посадниково</w:t>
            </w:r>
          </w:p>
        </w:tc>
        <w:tc>
          <w:tcPr>
            <w:tcW w:w="1077"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Успения Пресвятой Богородицы</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Лукино, Лобно, урочище</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Успения Пресвятой Богородицы</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Выбор</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Троицы Живоначальной</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Гривино</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w:t>
            </w:r>
          </w:p>
        </w:tc>
      </w:tr>
      <w:tr w:rsidR="005D2FF0" w:rsidRPr="005D2FF0" w:rsidTr="005D2FF0">
        <w:trPr>
          <w:trHeight w:val="23"/>
          <w:jc w:val="center"/>
        </w:trPr>
        <w:tc>
          <w:tcPr>
            <w:tcW w:w="2742" w:type="pct"/>
            <w:gridSpan w:val="3"/>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Церковь Воскресения Христова</w:t>
            </w:r>
          </w:p>
        </w:tc>
        <w:tc>
          <w:tcPr>
            <w:tcW w:w="1181" w:type="pct"/>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д. Сторожня</w:t>
            </w:r>
          </w:p>
        </w:tc>
        <w:tc>
          <w:tcPr>
            <w:tcW w:w="1077" w:type="pct"/>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Восстановление на первую очередь в целях развития туризма и рекреации</w:t>
            </w:r>
          </w:p>
        </w:tc>
      </w:tr>
    </w:tbl>
    <w:p w:rsidR="005D2FF0" w:rsidRDefault="005D2FF0" w:rsidP="005D2FF0">
      <w:pPr>
        <w:spacing w:after="0" w:line="240" w:lineRule="auto"/>
        <w:jc w:val="both"/>
        <w:rPr>
          <w:rFonts w:ascii="Times New Roman" w:hAnsi="Times New Roman" w:cs="Times New Roman"/>
          <w:b/>
          <w:bCs/>
          <w:sz w:val="24"/>
          <w:szCs w:val="24"/>
        </w:rPr>
      </w:pPr>
      <w:bookmarkStart w:id="79" w:name="_Toc216434256"/>
    </w:p>
    <w:p w:rsidR="005D2FF0" w:rsidRDefault="005D2FF0" w:rsidP="005D2FF0">
      <w:pPr>
        <w:spacing w:after="0" w:line="240" w:lineRule="auto"/>
        <w:jc w:val="both"/>
        <w:rPr>
          <w:rFonts w:ascii="Times New Roman" w:hAnsi="Times New Roman" w:cs="Times New Roman"/>
          <w:b/>
          <w:bCs/>
          <w:sz w:val="24"/>
          <w:szCs w:val="24"/>
        </w:rPr>
      </w:pPr>
    </w:p>
    <w:p w:rsidR="005D2FF0" w:rsidRDefault="005D2FF0" w:rsidP="005D2FF0">
      <w:pPr>
        <w:spacing w:after="0" w:line="240" w:lineRule="auto"/>
        <w:jc w:val="both"/>
        <w:rPr>
          <w:rFonts w:ascii="Times New Roman" w:hAnsi="Times New Roman" w:cs="Times New Roman"/>
          <w:b/>
          <w:bCs/>
          <w:sz w:val="24"/>
          <w:szCs w:val="24"/>
        </w:rPr>
      </w:pPr>
    </w:p>
    <w:p w:rsidR="005D2FF0" w:rsidRPr="005D2FF0" w:rsidRDefault="005D2FF0" w:rsidP="005D2FF0">
      <w:pPr>
        <w:spacing w:after="0" w:line="240" w:lineRule="auto"/>
        <w:jc w:val="center"/>
        <w:rPr>
          <w:rFonts w:ascii="Times New Roman" w:hAnsi="Times New Roman" w:cs="Times New Roman"/>
          <w:b/>
          <w:bCs/>
          <w:sz w:val="24"/>
          <w:szCs w:val="24"/>
        </w:rPr>
      </w:pPr>
      <w:r w:rsidRPr="005D2FF0">
        <w:rPr>
          <w:rFonts w:ascii="Times New Roman" w:hAnsi="Times New Roman" w:cs="Times New Roman"/>
          <w:b/>
          <w:bCs/>
          <w:sz w:val="24"/>
          <w:szCs w:val="24"/>
        </w:rPr>
        <w:lastRenderedPageBreak/>
        <w:t>3.7.7. Торговля и общественное питание</w:t>
      </w:r>
      <w:bookmarkEnd w:id="79"/>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данным Федеральной службы государственной статистики в районе имеется 92 торговых предприятия, в том числе: 81 магазин общей площадью 5257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w:t>
      </w:r>
      <w:r w:rsidR="00C2067C">
        <w:rPr>
          <w:rFonts w:ascii="Times New Roman" w:hAnsi="Times New Roman" w:cs="Times New Roman"/>
          <w:sz w:val="24"/>
          <w:szCs w:val="24"/>
        </w:rPr>
        <w:t xml:space="preserve"> </w:t>
      </w:r>
      <w:r w:rsidRPr="005D2FF0">
        <w:rPr>
          <w:rFonts w:ascii="Times New Roman" w:hAnsi="Times New Roman" w:cs="Times New Roman"/>
          <w:sz w:val="24"/>
          <w:szCs w:val="24"/>
        </w:rPr>
        <w:t>9 палаток/киосков , 2 аптеки общей площадью 70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1 общедоступная столовая, 2 столовые учебных заведений, 17 специализированных непродовольственных магазинов, 46 минимаркетов, 18 прочих магазинов, 4 кафе, Больше всего торговых площадей отмечается в г. Новоржев.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Обеспеченность населения общей мощностью объектов торговли в целом по району соответствует нормативным значениям. В городе Новоржев обеспеченность населения торговыми объектами составляет 170% от норматива. В сельских поселениях района этот показатель не достигает и 70% от необходимого по СП 42.13330.2011 значения.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Предприятия общественного питания расположены в г. Новоржев. Обеспеченность данным видом обслуживания в целом по району составляет примерно 30% нормативного значения, при этом по городскому поселению – 77 %. Несмотря на то что с учетом социально-экономической ситуации в районе реальная потребность населения в услугах сети объектов общественного питания снижена, требуется расширение сети учреждений общественного питания по мере развития туризма и рекреации в районе.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городе Новоржев расположен рынок (более 300 торговых мест). Согласно СП 42.13330.2011 норматив обеспеченности торговой площадью рыночных комплексов составляет 24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на тысячу населения. Имеющаяся площадь рынка может оцениваться как достаточная для нужд населения района (по нормативу нужно порядка 250-300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 xml:space="preserve"> торговой площади).</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Таблица 40 - Фактическая и нормативная обеспеченность населения общей мощностью объектов торговли и общественного питания</w:t>
      </w:r>
    </w:p>
    <w:tbl>
      <w:tblPr>
        <w:tblW w:w="5000" w:type="pct"/>
        <w:jc w:val="center"/>
        <w:tblLook w:val="04A0" w:firstRow="1" w:lastRow="0" w:firstColumn="1" w:lastColumn="0" w:noHBand="0" w:noVBand="1"/>
      </w:tblPr>
      <w:tblGrid>
        <w:gridCol w:w="1536"/>
        <w:gridCol w:w="1370"/>
        <w:gridCol w:w="1397"/>
        <w:gridCol w:w="1179"/>
        <w:gridCol w:w="1371"/>
        <w:gridCol w:w="1397"/>
        <w:gridCol w:w="1179"/>
      </w:tblGrid>
      <w:tr w:rsidR="005D2FF0" w:rsidRPr="005D2FF0" w:rsidTr="005D2FF0">
        <w:trPr>
          <w:trHeight w:val="23"/>
          <w:jc w:val="center"/>
        </w:trPr>
        <w:tc>
          <w:tcPr>
            <w:tcW w:w="1015"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Территория</w:t>
            </w:r>
          </w:p>
        </w:tc>
        <w:tc>
          <w:tcPr>
            <w:tcW w:w="2053" w:type="pct"/>
            <w:gridSpan w:val="3"/>
            <w:tcBorders>
              <w:top w:val="single" w:sz="8" w:space="0" w:color="auto"/>
              <w:left w:val="nil"/>
              <w:bottom w:val="single" w:sz="8" w:space="0" w:color="auto"/>
              <w:right w:val="single" w:sz="8" w:space="0" w:color="000000"/>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Магазины, м2 торговой площади</w:t>
            </w:r>
          </w:p>
        </w:tc>
        <w:tc>
          <w:tcPr>
            <w:tcW w:w="1932" w:type="pct"/>
            <w:gridSpan w:val="3"/>
            <w:tcBorders>
              <w:top w:val="single" w:sz="8" w:space="0" w:color="auto"/>
              <w:left w:val="nil"/>
              <w:bottom w:val="single" w:sz="8" w:space="0" w:color="auto"/>
              <w:right w:val="single" w:sz="8" w:space="0" w:color="000000"/>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Предприятия общественного питания, мест</w:t>
            </w:r>
          </w:p>
        </w:tc>
      </w:tr>
      <w:tr w:rsidR="005D2FF0" w:rsidRPr="005D2FF0" w:rsidTr="005D2FF0">
        <w:trPr>
          <w:trHeight w:val="23"/>
          <w:jc w:val="center"/>
        </w:trPr>
        <w:tc>
          <w:tcPr>
            <w:tcW w:w="1015" w:type="pct"/>
            <w:vMerge/>
            <w:tcBorders>
              <w:top w:val="single" w:sz="8" w:space="0" w:color="auto"/>
              <w:left w:val="single" w:sz="8" w:space="0" w:color="auto"/>
              <w:bottom w:val="single" w:sz="8" w:space="0" w:color="000000"/>
              <w:right w:val="single" w:sz="8" w:space="0" w:color="auto"/>
            </w:tcBorders>
            <w:vAlign w:val="center"/>
          </w:tcPr>
          <w:p w:rsidR="005D2FF0" w:rsidRPr="005D2FF0" w:rsidRDefault="005D2FF0" w:rsidP="005D2FF0">
            <w:pPr>
              <w:spacing w:after="0" w:line="240" w:lineRule="auto"/>
              <w:jc w:val="both"/>
              <w:rPr>
                <w:rFonts w:ascii="Times New Roman" w:hAnsi="Times New Roman" w:cs="Times New Roman"/>
                <w:b/>
                <w:bCs/>
                <w:sz w:val="24"/>
                <w:szCs w:val="24"/>
              </w:rPr>
            </w:pPr>
          </w:p>
        </w:tc>
        <w:tc>
          <w:tcPr>
            <w:tcW w:w="761"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фактическая</w:t>
            </w:r>
          </w:p>
        </w:tc>
        <w:tc>
          <w:tcPr>
            <w:tcW w:w="667"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нормативная</w:t>
            </w:r>
          </w:p>
        </w:tc>
        <w:tc>
          <w:tcPr>
            <w:tcW w:w="626"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от норматива</w:t>
            </w:r>
          </w:p>
        </w:tc>
        <w:tc>
          <w:tcPr>
            <w:tcW w:w="693"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фактическая</w:t>
            </w:r>
          </w:p>
        </w:tc>
        <w:tc>
          <w:tcPr>
            <w:tcW w:w="619"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нормативная</w:t>
            </w:r>
          </w:p>
        </w:tc>
        <w:tc>
          <w:tcPr>
            <w:tcW w:w="620"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от норматива</w:t>
            </w:r>
          </w:p>
        </w:tc>
      </w:tr>
      <w:tr w:rsidR="005D2FF0" w:rsidRPr="005D2FF0" w:rsidTr="005D2FF0">
        <w:trPr>
          <w:trHeight w:val="23"/>
          <w:jc w:val="center"/>
        </w:trPr>
        <w:tc>
          <w:tcPr>
            <w:tcW w:w="1015" w:type="pct"/>
            <w:tcBorders>
              <w:top w:val="nil"/>
              <w:left w:val="single" w:sz="8" w:space="0" w:color="auto"/>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Новоржевский район</w:t>
            </w:r>
          </w:p>
        </w:tc>
        <w:tc>
          <w:tcPr>
            <w:tcW w:w="761"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5257</w:t>
            </w:r>
          </w:p>
        </w:tc>
        <w:tc>
          <w:tcPr>
            <w:tcW w:w="667"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2992</w:t>
            </w:r>
          </w:p>
        </w:tc>
        <w:tc>
          <w:tcPr>
            <w:tcW w:w="626"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103,9</w:t>
            </w:r>
          </w:p>
        </w:tc>
        <w:tc>
          <w:tcPr>
            <w:tcW w:w="693"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120</w:t>
            </w:r>
          </w:p>
        </w:tc>
        <w:tc>
          <w:tcPr>
            <w:tcW w:w="619"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412</w:t>
            </w:r>
          </w:p>
        </w:tc>
        <w:tc>
          <w:tcPr>
            <w:tcW w:w="620" w:type="pct"/>
            <w:tcBorders>
              <w:top w:val="nil"/>
              <w:left w:val="nil"/>
              <w:bottom w:val="single" w:sz="8" w:space="0" w:color="auto"/>
              <w:right w:val="single" w:sz="8" w:space="0" w:color="auto"/>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Cs/>
                <w:sz w:val="24"/>
                <w:szCs w:val="24"/>
              </w:rPr>
            </w:pPr>
            <w:r w:rsidRPr="005D2FF0">
              <w:rPr>
                <w:rFonts w:ascii="Times New Roman" w:hAnsi="Times New Roman" w:cs="Times New Roman"/>
                <w:bCs/>
                <w:sz w:val="24"/>
                <w:szCs w:val="24"/>
              </w:rPr>
              <w:t>29,1</w:t>
            </w:r>
          </w:p>
        </w:tc>
      </w:tr>
    </w:tbl>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целом в Новоржевском районе существующих торговых площадей достаточно для обеспечения населения этим видом услуг на расчетный срок. Избыточная обеспеченность торговой площадью городского поселения Новоржев может быть ориентирована не только на жителей сельских поселений района, но также на обслуживание туристов и рекреантов. В отдаленных и труднодоступных населенных пунктах необходимо содействовать организации выездной торговли. Также возможно предусмотреть размещения рынка в д. Орша, в связи с расположением вблизи районного центра (торговая площадь 250 м</w:t>
      </w:r>
      <w:r w:rsidRPr="005D2FF0">
        <w:rPr>
          <w:rFonts w:ascii="Times New Roman" w:hAnsi="Times New Roman" w:cs="Times New Roman"/>
          <w:sz w:val="24"/>
          <w:szCs w:val="24"/>
          <w:vertAlign w:val="superscript"/>
        </w:rPr>
        <w:t>2</w:t>
      </w:r>
      <w:r w:rsidRPr="005D2FF0">
        <w:rPr>
          <w:rFonts w:ascii="Times New Roman" w:hAnsi="Times New Roman" w:cs="Times New Roman"/>
          <w:sz w:val="24"/>
          <w:szCs w:val="24"/>
        </w:rPr>
        <w:t>).</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Новоржеве и отдельных сельских населенных пунктах, связанных с развитием рекреационно-туристской деятельности и обслуживанием транзитных потоков грузов целесообразно предусматривать возможности для развития предприятий общественного питания, в т.ч. содействовать развитию малого бизнеса.</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Рост емкости предприятий торговли и общественного питания предполагается за счет частного бизнеса (сетевые магазины, развитие малого предпринимательства и т.д.). Определенный вклад в это направление экономической деятельности может внести потребительская кооперация.</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sz w:val="24"/>
          <w:szCs w:val="24"/>
        </w:rPr>
      </w:pPr>
      <w:r w:rsidRPr="005D2FF0">
        <w:rPr>
          <w:rFonts w:ascii="Times New Roman" w:hAnsi="Times New Roman" w:cs="Times New Roman"/>
          <w:b/>
          <w:sz w:val="24"/>
          <w:szCs w:val="24"/>
        </w:rPr>
        <w:t>Таблица 41 - Расчет перспективной потребности в общей мощности объектов торговли и общественного питания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083"/>
        <w:gridCol w:w="1001"/>
        <w:gridCol w:w="1184"/>
        <w:gridCol w:w="1186"/>
        <w:gridCol w:w="1184"/>
        <w:gridCol w:w="1184"/>
      </w:tblGrid>
      <w:tr w:rsidR="005D2FF0" w:rsidRPr="005D2FF0" w:rsidTr="005D2FF0">
        <w:trPr>
          <w:trHeight w:val="23"/>
          <w:jc w:val="center"/>
        </w:trPr>
        <w:tc>
          <w:tcPr>
            <w:tcW w:w="1382" w:type="pct"/>
            <w:vMerge w:val="restar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Территория</w:t>
            </w:r>
          </w:p>
        </w:tc>
        <w:tc>
          <w:tcPr>
            <w:tcW w:w="1105"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 xml:space="preserve">Магазины, м2 </w:t>
            </w:r>
            <w:r w:rsidRPr="005D2FF0">
              <w:rPr>
                <w:rFonts w:ascii="Times New Roman" w:hAnsi="Times New Roman" w:cs="Times New Roman"/>
                <w:b/>
                <w:bCs/>
                <w:sz w:val="24"/>
                <w:szCs w:val="24"/>
              </w:rPr>
              <w:lastRenderedPageBreak/>
              <w:t>торговой площади</w:t>
            </w:r>
          </w:p>
        </w:tc>
        <w:tc>
          <w:tcPr>
            <w:tcW w:w="1256"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lastRenderedPageBreak/>
              <w:t xml:space="preserve">Рыночные </w:t>
            </w:r>
            <w:r w:rsidRPr="005D2FF0">
              <w:rPr>
                <w:rFonts w:ascii="Times New Roman" w:hAnsi="Times New Roman" w:cs="Times New Roman"/>
                <w:b/>
                <w:bCs/>
                <w:sz w:val="24"/>
                <w:szCs w:val="24"/>
              </w:rPr>
              <w:lastRenderedPageBreak/>
              <w:t>комплексы, м2 торговой площади</w:t>
            </w:r>
          </w:p>
        </w:tc>
        <w:tc>
          <w:tcPr>
            <w:tcW w:w="1257" w:type="pct"/>
            <w:gridSpan w:val="2"/>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lastRenderedPageBreak/>
              <w:t xml:space="preserve">Предприятия </w:t>
            </w:r>
            <w:r w:rsidRPr="005D2FF0">
              <w:rPr>
                <w:rFonts w:ascii="Times New Roman" w:hAnsi="Times New Roman" w:cs="Times New Roman"/>
                <w:b/>
                <w:bCs/>
                <w:sz w:val="24"/>
                <w:szCs w:val="24"/>
              </w:rPr>
              <w:lastRenderedPageBreak/>
              <w:t>общественного питания, мест</w:t>
            </w:r>
          </w:p>
        </w:tc>
      </w:tr>
      <w:tr w:rsidR="005D2FF0" w:rsidRPr="005D2FF0" w:rsidTr="005D2FF0">
        <w:trPr>
          <w:trHeight w:val="23"/>
          <w:jc w:val="center"/>
        </w:trPr>
        <w:tc>
          <w:tcPr>
            <w:tcW w:w="1382" w:type="pct"/>
            <w:vMerge/>
            <w:vAlign w:val="center"/>
          </w:tcPr>
          <w:p w:rsidR="005D2FF0" w:rsidRPr="005D2FF0" w:rsidRDefault="005D2FF0" w:rsidP="005D2FF0">
            <w:pPr>
              <w:spacing w:after="0" w:line="240" w:lineRule="auto"/>
              <w:jc w:val="both"/>
              <w:rPr>
                <w:rFonts w:ascii="Times New Roman" w:hAnsi="Times New Roman" w:cs="Times New Roman"/>
                <w:b/>
                <w:bCs/>
                <w:sz w:val="24"/>
                <w:szCs w:val="24"/>
              </w:rPr>
            </w:pP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1 оч.</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Расч. срок</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Новоржевский район</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2629</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2235</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281</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240</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351</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299</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г.Новоржев</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1062</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976</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118</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109</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148</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136</w:t>
            </w:r>
          </w:p>
        </w:tc>
      </w:tr>
      <w:tr w:rsidR="005D2FF0" w:rsidRPr="005D2FF0" w:rsidTr="005D2FF0">
        <w:trPr>
          <w:trHeight w:val="23"/>
          <w:jc w:val="center"/>
        </w:trPr>
        <w:tc>
          <w:tcPr>
            <w:tcW w:w="1382"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Сельская местность</w:t>
            </w:r>
          </w:p>
        </w:tc>
        <w:tc>
          <w:tcPr>
            <w:tcW w:w="574"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1567</w:t>
            </w:r>
          </w:p>
        </w:tc>
        <w:tc>
          <w:tcPr>
            <w:tcW w:w="531"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1259</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163</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131</w:t>
            </w:r>
          </w:p>
        </w:tc>
        <w:tc>
          <w:tcPr>
            <w:tcW w:w="628"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203</w:t>
            </w:r>
          </w:p>
        </w:tc>
        <w:tc>
          <w:tcPr>
            <w:tcW w:w="629" w:type="pct"/>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163</w:t>
            </w:r>
          </w:p>
        </w:tc>
      </w:tr>
    </w:tbl>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Указанные в данном разделе мероприятия по достижению нормативной обеспеченности населения Новоржевского района объектами социальной инфраструктуры являются минимально необходимыми для прогнозируемой численности и возрастной структуры населения. Приведенные параметры обеспеченности и мероприятия должны быть уточнены и расширены при разработке генеральных планов поселений района. В работах территориального планирования низового уровня можно учесть дополнительные факторы, уточняющие потребность в объектах социальной инфраструктуры.</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C2067C">
      <w:pPr>
        <w:spacing w:after="0" w:line="240" w:lineRule="auto"/>
        <w:jc w:val="center"/>
        <w:rPr>
          <w:rFonts w:ascii="Times New Roman" w:hAnsi="Times New Roman" w:cs="Times New Roman"/>
          <w:b/>
          <w:bCs/>
          <w:sz w:val="24"/>
          <w:szCs w:val="24"/>
        </w:rPr>
      </w:pPr>
      <w:bookmarkStart w:id="80" w:name="_Toc216434257"/>
      <w:r w:rsidRPr="005D2FF0">
        <w:rPr>
          <w:rFonts w:ascii="Times New Roman" w:hAnsi="Times New Roman" w:cs="Times New Roman"/>
          <w:b/>
          <w:bCs/>
          <w:sz w:val="24"/>
          <w:szCs w:val="24"/>
        </w:rPr>
        <w:t>3.7.8. Коммунально-бытовое обслуживание</w:t>
      </w:r>
      <w:bookmarkEnd w:id="80"/>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По данным Федеральной службы государственной статистики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На протяжении последних лет в сфере коммунально-бытового обслуживания осуществляют свою деятельность 14 объектов бытового обслуживания населения, оказывающих услуги: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 объект, предоставляющий услуги по техническому обслуживанию и ремонту транспортных средств, машин и оборудования;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2 - по ремонту и пошиву швейных, меховых и кожаных изделий, головных уборов и изделий текстильной галантереи, по ремонту, пошиву и вязанию трикотажных изделий;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1 - по ремонту и техническому обслуживанию бытовой радиоэлектронной аппаратуры, бытовых машин и приборов, ремонту и изготовлению металлоизделий; </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1 - предоставляющий услуги бань и душевых;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3 - предоставляющий услуги парикмахерских;</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1 - предоставляющий услуги фотоателье;</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5 - предоставляющий ритуальные услуги.</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Объем платных услуг населению (без субъектов малого предпринимательства) в 2019 году составил 63 тыс.руб, в 2020 - 58 тыс.руб.</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3.7.9. Размещение иных объектов</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Размещение кладбищ</w:t>
      </w:r>
    </w:p>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На территории Новоржевского района расположено 65 православных кладбищ, общей площадью 26,38 га. </w:t>
      </w:r>
    </w:p>
    <w:p w:rsidR="005D2FF0" w:rsidRPr="005D2FF0" w:rsidRDefault="005D2FF0" w:rsidP="005D2FF0">
      <w:pPr>
        <w:spacing w:after="0" w:line="240" w:lineRule="auto"/>
        <w:jc w:val="both"/>
        <w:rPr>
          <w:rFonts w:ascii="Times New Roman" w:hAnsi="Times New Roman" w:cs="Times New Roman"/>
          <w:sz w:val="24"/>
          <w:szCs w:val="24"/>
        </w:rPr>
      </w:pPr>
    </w:p>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Таблица 42 - Характеристика кладбищ муниципального образования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9"/>
        <w:gridCol w:w="1908"/>
        <w:gridCol w:w="8"/>
        <w:gridCol w:w="2361"/>
        <w:gridCol w:w="2353"/>
      </w:tblGrid>
      <w:tr w:rsidR="005D2FF0" w:rsidRPr="005D2FF0" w:rsidTr="005D2FF0">
        <w:trPr>
          <w:trHeight w:val="23"/>
          <w:tblHeader/>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Адрес местоположения</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Площадь используемая, га</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Конфессиональная принадлежность</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b/>
                <w:bCs/>
                <w:sz w:val="24"/>
                <w:szCs w:val="24"/>
              </w:rPr>
            </w:pPr>
            <w:r w:rsidRPr="005D2FF0">
              <w:rPr>
                <w:rFonts w:ascii="Times New Roman" w:hAnsi="Times New Roman" w:cs="Times New Roman"/>
                <w:b/>
                <w:bCs/>
                <w:sz w:val="24"/>
                <w:szCs w:val="24"/>
              </w:rPr>
              <w:t>Состояние подъездных путей (асфальт, 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 Новоржев, ул. Пушкина, 118</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5,6</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Ивахново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д.Ямищи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0.8</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д.Сторожня</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0,12</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д.Плясани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д.Мосенево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д.Вехно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д.Вехно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0.12</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д.Каруза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д.Алтун</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д.Задолжье</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1,50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в д. Выбор</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 Молчаново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 Крюково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д.Вёска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2,00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Богданово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0,60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Батиха,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0,80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Большие Баксти,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Вишенка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д.Варитино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погост Дубков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д.Денёскино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Зимник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д.Кашиха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д.Кудяево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д.Лунино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д.Михеево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Малиновка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д.Мясово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д.Никулино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Новолок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д.Старый Двор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д.Суслово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д.Сипово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д.Ольхи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д.Тетерино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Рог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Чернозерье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д.Стехново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д.Стехново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д.Посадниково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урочище Вороново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 xml:space="preserve">д.Крутцы </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Барута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Михалкино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Королёво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 Стёхово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д.Гривино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0,7</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д.Гривино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д.Вешалиха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д.Заборье</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0,15</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д.Макарово(Бараново)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д.Трохачёво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д.Мелехово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lastRenderedPageBreak/>
              <w:t>д.Власково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д.Добруха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д.Долосец</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д.Столбушино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д.Жадрицы</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0,40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д.Рудняха</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0,30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д.Полково</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0,20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д.Ковальки</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0,10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грунт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д.Дубровы</w:t>
            </w:r>
          </w:p>
        </w:tc>
        <w:tc>
          <w:tcPr>
            <w:tcW w:w="101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0,50</w:t>
            </w:r>
          </w:p>
        </w:tc>
        <w:tc>
          <w:tcPr>
            <w:tcW w:w="125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православное</w:t>
            </w: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асфальт</w:t>
            </w:r>
          </w:p>
        </w:tc>
      </w:tr>
      <w:tr w:rsidR="005D2FF0" w:rsidRPr="005D2FF0" w:rsidTr="005D2FF0">
        <w:trPr>
          <w:trHeight w:val="23"/>
          <w:jc w:val="center"/>
        </w:trPr>
        <w:tc>
          <w:tcPr>
            <w:tcW w:w="1484"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Итого</w:t>
            </w:r>
          </w:p>
        </w:tc>
        <w:tc>
          <w:tcPr>
            <w:tcW w:w="1016" w:type="pct"/>
            <w:gridSpan w:val="2"/>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26,38</w:t>
            </w:r>
          </w:p>
        </w:tc>
        <w:tc>
          <w:tcPr>
            <w:tcW w:w="1252"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p>
        </w:tc>
        <w:tc>
          <w:tcPr>
            <w:tcW w:w="1248" w:type="pct"/>
            <w:tcBorders>
              <w:tl2br w:val="nil"/>
              <w:tr2bl w:val="nil"/>
            </w:tcBorders>
            <w:shd w:val="clear" w:color="auto" w:fill="auto"/>
            <w:vAlign w:val="center"/>
          </w:tcPr>
          <w:p w:rsidR="005D2FF0" w:rsidRPr="005D2FF0" w:rsidRDefault="005D2FF0" w:rsidP="005D2FF0">
            <w:pPr>
              <w:spacing w:after="0" w:line="240" w:lineRule="auto"/>
              <w:jc w:val="both"/>
              <w:rPr>
                <w:rFonts w:ascii="Times New Roman" w:hAnsi="Times New Roman" w:cs="Times New Roman"/>
                <w:sz w:val="24"/>
                <w:szCs w:val="24"/>
              </w:rPr>
            </w:pPr>
          </w:p>
        </w:tc>
      </w:tr>
    </w:tbl>
    <w:p w:rsidR="005D2FF0" w:rsidRPr="005D2FF0"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sz w:val="24"/>
          <w:szCs w:val="24"/>
        </w:rPr>
        <w:t>Норматив площади кладбищ на территории Новоржевского района в соответствии с региональными нормативами градостроительного проектирования составляет 0,16-0,20 га на 1000 человек.</w:t>
      </w:r>
    </w:p>
    <w:p w:rsidR="00C2067C" w:rsidRDefault="005D2FF0" w:rsidP="005D2FF0">
      <w:pPr>
        <w:spacing w:after="0" w:line="240" w:lineRule="auto"/>
        <w:jc w:val="both"/>
        <w:rPr>
          <w:rFonts w:ascii="Times New Roman" w:hAnsi="Times New Roman" w:cs="Times New Roman"/>
          <w:sz w:val="24"/>
          <w:szCs w:val="24"/>
        </w:rPr>
      </w:pPr>
      <w:r w:rsidRPr="005D2FF0">
        <w:rPr>
          <w:rFonts w:ascii="Times New Roman" w:hAnsi="Times New Roman" w:cs="Times New Roman"/>
          <w:b/>
          <w:bCs/>
          <w:sz w:val="24"/>
          <w:szCs w:val="24"/>
        </w:rPr>
        <w:t>На расчетный срок</w:t>
      </w:r>
      <w:r w:rsidRPr="005D2FF0">
        <w:rPr>
          <w:rFonts w:ascii="Times New Roman" w:hAnsi="Times New Roman" w:cs="Times New Roman"/>
          <w:sz w:val="24"/>
          <w:szCs w:val="24"/>
        </w:rPr>
        <w:t xml:space="preserve"> на рассматриваемой территории с учетом стабилизационного метода развития предполагается размещение свободной территории кладбищ не менее 1,5 га.</w:t>
      </w: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sectPr w:rsidR="00C2067C" w:rsidSect="00B039E0">
          <w:pgSz w:w="11906" w:h="16838"/>
          <w:pgMar w:top="1134" w:right="992" w:bottom="1134" w:left="1701" w:header="709" w:footer="709" w:gutter="0"/>
          <w:cols w:space="708"/>
          <w:docGrid w:linePitch="360"/>
        </w:sectPr>
      </w:pP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Размещение стационарных пунктов наблюдения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Новоржевского района расположено 2 стационарных пунктах наблюдения Псковского ЦГМС – филиала ФГБУ «Северо-Западное УГМС».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Таблица 43 - Информация о стационарных пунктах наблюдения Псковского ЦГМС – филиала ФГБУ «Северо-Западное УГМС» по состоянию на 01.10.2019 г.</w:t>
      </w:r>
    </w:p>
    <w:tbl>
      <w:tblPr>
        <w:tblW w:w="5000" w:type="pct"/>
        <w:jc w:val="center"/>
        <w:tblBorders>
          <w:top w:val="thinThickThinSmallGap" w:sz="24" w:space="0" w:color="auto"/>
          <w:left w:val="thinThickThinSmallGap" w:sz="24" w:space="0" w:color="auto"/>
          <w:bottom w:val="thinThickThinSmallGap" w:sz="24" w:space="0" w:color="auto"/>
          <w:right w:val="thinThickThinSmallGap" w:sz="24" w:space="0" w:color="auto"/>
        </w:tblBorders>
        <w:tblLook w:val="04A0" w:firstRow="1" w:lastRow="0" w:firstColumn="1" w:lastColumn="0" w:noHBand="0" w:noVBand="1"/>
      </w:tblPr>
      <w:tblGrid>
        <w:gridCol w:w="560"/>
        <w:gridCol w:w="1492"/>
        <w:gridCol w:w="2097"/>
        <w:gridCol w:w="2529"/>
        <w:gridCol w:w="1131"/>
        <w:gridCol w:w="2333"/>
        <w:gridCol w:w="2367"/>
        <w:gridCol w:w="1710"/>
      </w:tblGrid>
      <w:tr w:rsidR="00C2067C" w:rsidRPr="00C2067C" w:rsidTr="00C2067C">
        <w:trPr>
          <w:trHeight w:val="23"/>
          <w:tblHeader/>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 п/п</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Название объекта</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Кадастровый</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номер земельного</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участка</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Адрес земельного участка</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(местоположение)</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Площ. зем.</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Участка (кв.м.)</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Дата и номер свидетельства о постоянном (бессрочном) пользовании</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Дата регистрации права собственности РФ</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в ЕГРП / номер</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регистрационной записи</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РНФИ</w:t>
            </w:r>
          </w:p>
        </w:tc>
      </w:tr>
      <w:tr w:rsidR="00C2067C" w:rsidRPr="00C2067C" w:rsidTr="00C2067C">
        <w:trPr>
          <w:trHeight w:val="23"/>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62</w:t>
            </w:r>
          </w:p>
        </w:tc>
        <w:tc>
          <w:tcPr>
            <w:tcW w:w="581" w:type="pct"/>
            <w:vMerge w:val="restart"/>
            <w:tcBorders>
              <w:top w:val="single" w:sz="4" w:space="0" w:color="auto"/>
              <w:left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ГП-1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р.Сороть-д.Осинкино</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60:10:0114001:55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р-н, д.Соболицы, северный берег р.Сороть</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100</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20.11.2013г.</w:t>
            </w:r>
            <w:r w:rsidRPr="00C2067C">
              <w:rPr>
                <w:rFonts w:ascii="Times New Roman" w:hAnsi="Times New Roman" w:cs="Times New Roman"/>
                <w:sz w:val="24"/>
                <w:szCs w:val="24"/>
              </w:rPr>
              <w:br/>
              <w:t>60АЗ №062407</w:t>
            </w:r>
            <w:r w:rsidRPr="00C2067C">
              <w:rPr>
                <w:rFonts w:ascii="Times New Roman" w:hAnsi="Times New Roman" w:cs="Times New Roman"/>
                <w:sz w:val="24"/>
                <w:szCs w:val="24"/>
              </w:rPr>
              <w:br/>
              <w:t>60-60-01/059/2013-376</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01.09.2015</w:t>
            </w:r>
            <w:r w:rsidRPr="00C2067C">
              <w:rPr>
                <w:rFonts w:ascii="Times New Roman" w:hAnsi="Times New Roman" w:cs="Times New Roman"/>
                <w:bCs/>
                <w:sz w:val="24"/>
                <w:szCs w:val="24"/>
                <w:lang w:val="en-US"/>
              </w:rPr>
              <w:t xml:space="preserve"> </w:t>
            </w:r>
            <w:r w:rsidRPr="00C2067C">
              <w:rPr>
                <w:rFonts w:ascii="Times New Roman" w:hAnsi="Times New Roman" w:cs="Times New Roman"/>
                <w:bCs/>
                <w:sz w:val="24"/>
                <w:szCs w:val="24"/>
              </w:rPr>
              <w:t>г.№ 020105</w:t>
            </w:r>
            <w:r w:rsidRPr="00C2067C">
              <w:rPr>
                <w:rFonts w:ascii="Times New Roman" w:hAnsi="Times New Roman" w:cs="Times New Roman"/>
                <w:bCs/>
                <w:sz w:val="24"/>
                <w:szCs w:val="24"/>
              </w:rPr>
              <w:br/>
              <w:t>60-60/001-60/001/028/2015-582/1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П12600005012</w:t>
            </w:r>
          </w:p>
        </w:tc>
      </w:tr>
      <w:tr w:rsidR="00C2067C" w:rsidRPr="00C2067C" w:rsidTr="00C2067C">
        <w:trPr>
          <w:trHeight w:val="23"/>
          <w:jc w:val="center"/>
        </w:trPr>
        <w:tc>
          <w:tcPr>
            <w:tcW w:w="20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63</w:t>
            </w:r>
          </w:p>
        </w:tc>
        <w:tc>
          <w:tcPr>
            <w:tcW w:w="581" w:type="pct"/>
            <w:vMerge/>
            <w:tcBorders>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60:10:0022001:103</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р-н, д.Осинкино, южный берег р.Сороть</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531</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20.11.2013г.</w:t>
            </w:r>
            <w:r w:rsidRPr="00C2067C">
              <w:rPr>
                <w:rFonts w:ascii="Times New Roman" w:hAnsi="Times New Roman" w:cs="Times New Roman"/>
                <w:sz w:val="24"/>
                <w:szCs w:val="24"/>
              </w:rPr>
              <w:br/>
              <w:t>60АЗ №062406</w:t>
            </w:r>
            <w:r w:rsidRPr="00C2067C">
              <w:rPr>
                <w:rFonts w:ascii="Times New Roman" w:hAnsi="Times New Roman" w:cs="Times New Roman"/>
                <w:sz w:val="24"/>
                <w:szCs w:val="24"/>
              </w:rPr>
              <w:br/>
              <w:t>60-60-01/059/2013-374</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01.09.2015</w:t>
            </w:r>
            <w:r w:rsidRPr="00C2067C">
              <w:rPr>
                <w:rFonts w:ascii="Times New Roman" w:hAnsi="Times New Roman" w:cs="Times New Roman"/>
                <w:bCs/>
                <w:sz w:val="24"/>
                <w:szCs w:val="24"/>
                <w:lang w:val="en-US"/>
              </w:rPr>
              <w:t xml:space="preserve"> </w:t>
            </w:r>
            <w:r w:rsidRPr="00C2067C">
              <w:rPr>
                <w:rFonts w:ascii="Times New Roman" w:hAnsi="Times New Roman" w:cs="Times New Roman"/>
                <w:bCs/>
                <w:sz w:val="24"/>
                <w:szCs w:val="24"/>
              </w:rPr>
              <w:t>г.№ 020102</w:t>
            </w:r>
            <w:r w:rsidRPr="00C2067C">
              <w:rPr>
                <w:rFonts w:ascii="Times New Roman" w:hAnsi="Times New Roman" w:cs="Times New Roman"/>
                <w:bCs/>
                <w:sz w:val="24"/>
                <w:szCs w:val="24"/>
              </w:rPr>
              <w:br/>
              <w:t>60-60/001-60/001/028/2015-586/1</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П12600005012</w:t>
            </w:r>
          </w:p>
        </w:tc>
      </w:tr>
    </w:tbl>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sz w:val="24"/>
          <w:szCs w:val="24"/>
        </w:rPr>
        <w:sectPr w:rsidR="00C2067C" w:rsidRPr="00C2067C" w:rsidSect="00C2067C">
          <w:pgSz w:w="16838" w:h="11906" w:orient="landscape"/>
          <w:pgMar w:top="1134" w:right="1134" w:bottom="1134" w:left="1701" w:header="709" w:footer="709" w:gutter="0"/>
          <w:cols w:space="708"/>
          <w:docGrid w:linePitch="360"/>
        </w:sectPr>
      </w:pPr>
    </w:p>
    <w:p w:rsidR="00C2067C" w:rsidRPr="00C2067C" w:rsidRDefault="00C2067C" w:rsidP="00C2067C">
      <w:pPr>
        <w:spacing w:after="0" w:line="240" w:lineRule="auto"/>
        <w:jc w:val="center"/>
        <w:rPr>
          <w:rFonts w:ascii="Times New Roman" w:hAnsi="Times New Roman" w:cs="Times New Roman"/>
          <w:b/>
          <w:bCs/>
          <w:i/>
          <w:sz w:val="24"/>
          <w:szCs w:val="24"/>
        </w:rPr>
      </w:pPr>
      <w:bookmarkStart w:id="81" w:name="_Toc216434258"/>
      <w:r w:rsidRPr="00C2067C">
        <w:rPr>
          <w:rFonts w:ascii="Times New Roman" w:hAnsi="Times New Roman" w:cs="Times New Roman"/>
          <w:b/>
          <w:bCs/>
          <w:i/>
          <w:sz w:val="24"/>
          <w:szCs w:val="24"/>
        </w:rPr>
        <w:lastRenderedPageBreak/>
        <w:t>3.8. Культурное наследие</w:t>
      </w:r>
      <w:bookmarkEnd w:id="81"/>
    </w:p>
    <w:p w:rsidR="00C2067C" w:rsidRPr="00C2067C" w:rsidRDefault="00C2067C" w:rsidP="00C2067C">
      <w:pPr>
        <w:spacing w:after="0" w:line="240" w:lineRule="auto"/>
        <w:jc w:val="both"/>
        <w:rPr>
          <w:rFonts w:ascii="Times New Roman" w:hAnsi="Times New Roman" w:cs="Times New Roman"/>
          <w:b/>
          <w:bCs/>
          <w:i/>
          <w:sz w:val="24"/>
          <w:szCs w:val="24"/>
        </w:rPr>
      </w:pP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Таблица 44 - Перечень объектов культурного наследия федерального значения, расположенных на территории муниципального образования «Новоржевский район» Псковской области</w:t>
      </w:r>
    </w:p>
    <w:tbl>
      <w:tblPr>
        <w:tblW w:w="5000" w:type="pct"/>
        <w:jc w:val="center"/>
        <w:tblCellMar>
          <w:left w:w="10" w:type="dxa"/>
          <w:right w:w="10" w:type="dxa"/>
        </w:tblCellMar>
        <w:tblLook w:val="04A0" w:firstRow="1" w:lastRow="0" w:firstColumn="1" w:lastColumn="0" w:noHBand="0" w:noVBand="1"/>
      </w:tblPr>
      <w:tblGrid>
        <w:gridCol w:w="587"/>
        <w:gridCol w:w="3720"/>
        <w:gridCol w:w="3201"/>
        <w:gridCol w:w="3878"/>
        <w:gridCol w:w="3204"/>
      </w:tblGrid>
      <w:tr w:rsidR="00C2067C" w:rsidRPr="00C2067C" w:rsidTr="00C2067C">
        <w:trPr>
          <w:trHeight w:val="23"/>
          <w:tblHeader/>
          <w:jc w:val="center"/>
        </w:trPr>
        <w:tc>
          <w:tcPr>
            <w:tcW w:w="201"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w:t>
            </w: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п/п</w:t>
            </w:r>
          </w:p>
        </w:tc>
        <w:tc>
          <w:tcPr>
            <w:tcW w:w="1275"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Наименование объекта культурного наследия</w:t>
            </w:r>
          </w:p>
        </w:tc>
        <w:tc>
          <w:tcPr>
            <w:tcW w:w="1097" w:type="pct"/>
            <w:tcBorders>
              <w:top w:val="single" w:sz="4" w:space="0" w:color="auto"/>
              <w:left w:val="single" w:sz="4" w:space="0" w:color="auto"/>
              <w:bottom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Адрес объекта культурного наследи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Реквизиты нормативного документа об утверждении границ территории объекта культурного наследи</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Нормативно-правовые документы о постановке объектов культурного наследия на государственную охрану</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Ансамбль Покровской церкви, XVIII-XIX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Псковская область, Новоржевский район, д. Барута</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24.08.2020 № 454</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rPr>
            </w:pPr>
            <w:r w:rsidRPr="00C2067C">
              <w:rPr>
                <w:rFonts w:ascii="Times New Roman" w:hAnsi="Times New Roman" w:cs="Times New Roman"/>
                <w:bCs/>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Преображенской церкви. 1758-1763 гг.</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06.11.2020 №692</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дом Баруздина, 2-я пол. XVIII 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Ладино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13.11.2020 №722</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Казанская церковь. 1739 г.</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Посадниково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Комитета по охране объектов культурного наследия ФЗ от 29.10.2020 №663</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Указ Президента РФ № 176 от 20.02.1995 г.</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1-я пол. 2 тыс.н.э.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пос.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Вехно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Жальничный могильник,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Гридино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Дубков, XIV-XV1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Гущино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Гущино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XVI-XVI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Крекшино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55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XVI-XVI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д.Крюково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Одиночный 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 посад,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Каменные кресты. XV-XVII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Выбор</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18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Жуково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Жуково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4,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5,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6,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7,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Исаково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27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Грунтовый могильник, XIV-XVII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Селюгино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Селюгино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29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Грунтовый могильник, XIV-XVI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Фатьяново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Жальничный могильник, XV-XVI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Шикени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Дубровы</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Селище XII-XIV вв.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Дубровы</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Городище, 1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Липовик</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Липовик</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Бибирево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36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37</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38</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Извоз</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39</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40</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Апросово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1,2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43</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44</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3,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Ботвино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2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45</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Курганная группа, 2 пол. 1 тыс. н.э.</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д. Посадниково</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Постановление Псковского областного Собрания депутатов от 30.01.1998 № 542</w:t>
            </w:r>
          </w:p>
        </w:tc>
      </w:tr>
      <w:tr w:rsidR="00C2067C" w:rsidRPr="00C2067C" w:rsidTr="00C2067C">
        <w:trPr>
          <w:trHeight w:val="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46</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Пятнадцать курганов</w:t>
            </w:r>
          </w:p>
        </w:tc>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Ямищи</w:t>
            </w:r>
          </w:p>
        </w:tc>
        <w:tc>
          <w:tcPr>
            <w:tcW w:w="1329"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Совета Министров РСФСР от 30.08.1960 № 1327 «О дальнейшем улучшении дела охраны памятников культуры в РСФСР»</w:t>
            </w:r>
          </w:p>
        </w:tc>
      </w:tr>
    </w:tbl>
    <w:p w:rsidR="00C2067C" w:rsidRPr="00C2067C" w:rsidRDefault="00C2067C" w:rsidP="00C2067C">
      <w:pPr>
        <w:spacing w:after="0" w:line="240" w:lineRule="auto"/>
        <w:jc w:val="both"/>
        <w:rPr>
          <w:rFonts w:ascii="Times New Roman" w:hAnsi="Times New Roman" w:cs="Times New Roman"/>
          <w:b/>
          <w:bCs/>
          <w:sz w:val="24"/>
          <w:szCs w:val="24"/>
          <w:lang w:bidi="ru-RU"/>
        </w:rPr>
      </w:pP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Таблица 45 - Перечень объектов культурного наследия регионального значения, расположенных на территории муниципального образования «Новоржевский район» Псковской области</w:t>
      </w:r>
    </w:p>
    <w:tbl>
      <w:tblPr>
        <w:tblW w:w="5000" w:type="pct"/>
        <w:jc w:val="center"/>
        <w:tblCellMar>
          <w:left w:w="10" w:type="dxa"/>
          <w:right w:w="10" w:type="dxa"/>
        </w:tblCellMar>
        <w:tblLook w:val="04A0" w:firstRow="1" w:lastRow="0" w:firstColumn="1" w:lastColumn="0" w:noHBand="0" w:noVBand="1"/>
      </w:tblPr>
      <w:tblGrid>
        <w:gridCol w:w="683"/>
        <w:gridCol w:w="3627"/>
        <w:gridCol w:w="3186"/>
        <w:gridCol w:w="3922"/>
        <w:gridCol w:w="3172"/>
      </w:tblGrid>
      <w:tr w:rsidR="00C2067C" w:rsidRPr="00C2067C" w:rsidTr="00C2067C">
        <w:trPr>
          <w:trHeight w:val="23"/>
          <w:tblHeader/>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lang w:bidi="ru-RU"/>
              </w:rPr>
              <w:t>№</w:t>
            </w: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lang w:bidi="ru-RU"/>
              </w:rPr>
              <w:t>п/п</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Наименование объекта культурного наследия</w:t>
            </w:r>
          </w:p>
        </w:tc>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Адрес</w:t>
            </w:r>
          </w:p>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объекта культурного наследи</w:t>
            </w:r>
          </w:p>
        </w:tc>
        <w:tc>
          <w:tcPr>
            <w:tcW w:w="1344"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Реквизиты нормативного документа об утверждении границ территории объекта культурного наследи</w:t>
            </w:r>
          </w:p>
        </w:tc>
        <w:tc>
          <w:tcPr>
            <w:tcW w:w="1087" w:type="pct"/>
            <w:tcBorders>
              <w:top w:val="single" w:sz="4" w:space="0" w:color="auto"/>
              <w:left w:val="single" w:sz="4" w:space="0" w:color="auto"/>
              <w:bottom w:val="single" w:sz="4" w:space="0" w:color="auto"/>
              <w:right w:val="single" w:sz="4" w:space="0" w:color="auto"/>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Нормативно-правовые документы о постановке объектов культурного наследия на государственную охрану</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Амбар, конец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Новоржевский район, г. Новоржев, Базарная площадь, д. 3</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Приказ Комитета по охране объектов культурного наследия Псковской области от 13.04.2023 № 206</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Cs/>
                <w:sz w:val="24"/>
                <w:szCs w:val="24"/>
                <w:lang w:bidi="ru-RU"/>
              </w:rPr>
            </w:pPr>
            <w:r w:rsidRPr="00C2067C">
              <w:rPr>
                <w:rFonts w:ascii="Times New Roman" w:hAnsi="Times New Roman" w:cs="Times New Roman"/>
                <w:bCs/>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Дома доходные Платишенского Е.М. (около 1895 г.) и Песецкого Н.В. (1900-е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Германа, 40</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49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Склад сельскохозяйственный новоржевского уездного земства, начало XX 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Медицинская, 12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338</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Сыроварня новоржевского уездного земства, 1890-е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г. Новоржев, ул. </w:t>
            </w:r>
            <w:r w:rsidRPr="00C2067C">
              <w:rPr>
                <w:rFonts w:ascii="Times New Roman" w:hAnsi="Times New Roman" w:cs="Times New Roman"/>
                <w:sz w:val="24"/>
                <w:szCs w:val="24"/>
                <w:lang w:bidi="ru-RU"/>
              </w:rPr>
              <w:lastRenderedPageBreak/>
              <w:t>Медицинская, 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Приказ Комитета по охране объектов культурного наследия Псковской </w:t>
            </w:r>
            <w:r w:rsidRPr="00C2067C">
              <w:rPr>
                <w:rFonts w:ascii="Times New Roman" w:hAnsi="Times New Roman" w:cs="Times New Roman"/>
                <w:sz w:val="24"/>
                <w:szCs w:val="24"/>
                <w:lang w:bidi="ru-RU"/>
              </w:rPr>
              <w:lastRenderedPageBreak/>
              <w:t>области от 20.06.2023 № 337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51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Амбар, конец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Некрасова, 51</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336</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Кузница Минина С.Е., 1900-е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Некрасова, 69</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Склад казенный винный. 1890-1903 годы</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Победы.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339</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Столбушинских. Амбар, 1879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Пушкина,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372</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Столбушинских. Кладовые торговые с лавками, 1886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Пушкина, 46</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373</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городская Кудрова А.П. Амбар, конец XIX - начало ХХвека.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57-а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370</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Депо пожарное, около 1911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73</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13.04.2023 № 207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Кузница Мартынова В.С., начало XIX вв.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Рабоче- Крестьянская, 79</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369</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59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Клуб дворянский, начало XX века.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Советская, 12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29.06.2023 № 368</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60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Аптека земская, после 1904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Толстого, 42</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20.06.2023 № 340</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Рождества Христова, XVIII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на городском кладбище</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29.04.2019 № 199</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Усадьба Львовых,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Алтун,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Министерства культурного наследия Псковской области от 30.09.2025 №167-ОД</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ветряная,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Алтун,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Министерства культурного наследия Псковской области от 10.09.2025 №136-ОД</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1758- 1763 гг.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Вехно,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Барская усадьба,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Вехно, Вехнянская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13.05.2025 №347</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Выбор</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каменная,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Выборская волость, д. Фатьяново,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1768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Ладино, Жадрицкая волость</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13.11.2020 №722</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69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Церковь Успения с колокольней, </w:t>
            </w:r>
            <w:r w:rsidRPr="00C2067C">
              <w:rPr>
                <w:rFonts w:ascii="Times New Roman" w:hAnsi="Times New Roman" w:cs="Times New Roman"/>
                <w:sz w:val="24"/>
                <w:szCs w:val="24"/>
                <w:lang w:bidi="ru-RU"/>
              </w:rPr>
              <w:br/>
              <w:t>1787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д. Столбушино, Жадрицкая </w:t>
            </w:r>
            <w:r w:rsidRPr="00C2067C">
              <w:rPr>
                <w:rFonts w:ascii="Times New Roman" w:hAnsi="Times New Roman" w:cs="Times New Roman"/>
                <w:sz w:val="24"/>
                <w:szCs w:val="24"/>
                <w:lang w:bidi="ru-RU"/>
              </w:rPr>
              <w:lastRenderedPageBreak/>
              <w:t>волость</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Постановление Псковского областного Собрания </w:t>
            </w:r>
            <w:r w:rsidRPr="00C2067C">
              <w:rPr>
                <w:rFonts w:ascii="Times New Roman" w:hAnsi="Times New Roman" w:cs="Times New Roman"/>
                <w:sz w:val="24"/>
                <w:szCs w:val="24"/>
                <w:lang w:bidi="ru-RU"/>
              </w:rPr>
              <w:lastRenderedPageBreak/>
              <w:t>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70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Руины церкви,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Макарово, ул.  Центральная, в восточной части населенного</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Троицы с колокольней, 1751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"Барутская волость", д. Гривино</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Мельница у реки,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Коньково,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Хозяйственные постройки (Силин двор),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Макарово, ул. Центральная, в западной части населённого 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Имение Елагиных,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"Макаровская волость", деревня Петровское, в центре населённого пункта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Часовня,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Большая Слобода,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76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Церковь Воскресения с колокольней, 1777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Сторожня, Оршанская волость</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w:t>
            </w:r>
          </w:p>
        </w:tc>
        <w:tc>
          <w:tcPr>
            <w:tcW w:w="1087"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Постановление Псковского областного Собрания депутатов от 30.01.1998 № 542</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Хозяйственная постройка, 1891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Сторожня, Оршанская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Среднепоместная усадьба,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Стехново, Стехновская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79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Помещичий дом Вревских,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 Крутцы, Стехновская волость</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Часовня Параскевы Пятницы, XX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б.д. Богданово, Зареченская волость, Богдановские горы, у карьера</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вт. пол.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Вехнянская волость, д. Вехно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Псковской области от 13.05.2025 №346</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вт.пол. XVIII -нач.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"Новоржевская волость", д. Ладино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Приказ Комитета по охране объектов культурного наследия от 13.11.2020 №722</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Усадебный парк, пер. пол. и кон. 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"Выборская волость", д. Стехново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Усадебный парк, пер. пол. и кон. </w:t>
            </w:r>
            <w:r w:rsidRPr="00C2067C">
              <w:rPr>
                <w:rFonts w:ascii="Times New Roman" w:hAnsi="Times New Roman" w:cs="Times New Roman"/>
                <w:sz w:val="24"/>
                <w:szCs w:val="24"/>
                <w:lang w:bidi="ru-RU"/>
              </w:rPr>
              <w:lastRenderedPageBreak/>
              <w:t>XIX 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Новоржевский район, </w:t>
            </w:r>
            <w:r w:rsidRPr="00C2067C">
              <w:rPr>
                <w:rFonts w:ascii="Times New Roman" w:hAnsi="Times New Roman" w:cs="Times New Roman"/>
                <w:sz w:val="24"/>
                <w:szCs w:val="24"/>
                <w:lang w:bidi="ru-RU"/>
              </w:rPr>
              <w:lastRenderedPageBreak/>
              <w:t>Вехнянская волость, д. Алтун</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Приказ Министерства культурного </w:t>
            </w:r>
            <w:r w:rsidRPr="00C2067C">
              <w:rPr>
                <w:rFonts w:ascii="Times New Roman" w:hAnsi="Times New Roman" w:cs="Times New Roman"/>
                <w:sz w:val="24"/>
                <w:szCs w:val="24"/>
                <w:lang w:bidi="ru-RU"/>
              </w:rPr>
              <w:lastRenderedPageBreak/>
              <w:t>наследия Псковской области от 30.09.2025 №166-ОД</w:t>
            </w: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 xml:space="preserve">Решение Псковского </w:t>
            </w:r>
            <w:r w:rsidRPr="00C2067C">
              <w:rPr>
                <w:rFonts w:ascii="Times New Roman" w:hAnsi="Times New Roman" w:cs="Times New Roman"/>
                <w:sz w:val="24"/>
                <w:szCs w:val="24"/>
                <w:lang w:bidi="ru-RU"/>
              </w:rPr>
              <w:lastRenderedPageBreak/>
              <w:t>областного Собрания депутатов от 25.04.1996 г.</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85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советских воинов,</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погибших в боях с фашистами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советских воинов, г. Новоржев, в городском саду и партизан, погибших в борьбе с фашистами 1941, 1944 г.г.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в городском саду</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28.03.1950г. № 163</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Школа, в которой в 1930 - 1932 гг. учился Герой Советского Союза Заходский Александр Иванович</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ул. Германа, средняя школа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Памятник - танк в честь воинов 2-го Прибалтийского фронта, освободивших в 1944 г. г. Новоржев от немецко-фашистских захватчиков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при въезде в город из Пушкинских Гор, справа от шоссе ул. Пушкина. угол ул. Германа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89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павших в борьбе с немецко-фашистскими захватчиками</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г. Новоржев, у городского кладбища (ул. Пушкина)</w:t>
            </w:r>
          </w:p>
        </w:tc>
        <w:tc>
          <w:tcPr>
            <w:tcW w:w="1344" w:type="pct"/>
            <w:vMerge w:val="restar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28.03.1950г. № 163</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Братское кладбище мирных жителей, расстрелянных фашистами в годы оккупации, воинов СА и партизан</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5 км к северу от Новоржева. шоссе Новоржев - Псков</w:t>
            </w:r>
          </w:p>
        </w:tc>
        <w:tc>
          <w:tcPr>
            <w:tcW w:w="1344" w:type="pct"/>
            <w:vMerge/>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Место прорыва в 1944 г. линии фашистских укреплений </w:t>
            </w:r>
            <w:r w:rsidRPr="00C2067C">
              <w:rPr>
                <w:rFonts w:ascii="Times New Roman" w:hAnsi="Times New Roman" w:cs="Times New Roman"/>
                <w:sz w:val="24"/>
                <w:szCs w:val="24"/>
                <w:lang w:bidi="ru-RU"/>
              </w:rPr>
              <w:lastRenderedPageBreak/>
              <w:t>«Пантера», где героически сражались 28 советских воинов, повторивших подвиг панфиловцев: окопы траншеи противотанковый ров</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lastRenderedPageBreak/>
              <w:t>Новоржевский район, 300 м южнее деревни Бородино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Решение Псковского облисполкома от 28.05.1986 </w:t>
            </w:r>
            <w:r w:rsidRPr="00C2067C">
              <w:rPr>
                <w:rFonts w:ascii="Times New Roman" w:hAnsi="Times New Roman" w:cs="Times New Roman"/>
                <w:sz w:val="24"/>
                <w:szCs w:val="24"/>
                <w:lang w:bidi="ru-RU"/>
              </w:rPr>
              <w:lastRenderedPageBreak/>
              <w:t>№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Барсуки</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Воробьево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Выбор</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95</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Место боя 3-й партизанской бригады в 1943 г., в котором погиб Герой Советского Союза Герман Александр Викторович</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Житница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96</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партизан 3-й партизанской</w:t>
            </w:r>
          </w:p>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бригады, погибших в 1943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Житница</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97</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Могила Гринчука Алексея Павловича (1921 - 1943), партизана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сельское поселение "Выборская волость", д. 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98</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 xml:space="preserve">Новоржевский район, сельское поселение "Выборская волость", д. </w:t>
            </w:r>
            <w:r w:rsidRPr="00C2067C">
              <w:rPr>
                <w:rFonts w:ascii="Times New Roman" w:hAnsi="Times New Roman" w:cs="Times New Roman"/>
                <w:sz w:val="24"/>
                <w:szCs w:val="24"/>
                <w:lang w:bidi="ru-RU"/>
              </w:rPr>
              <w:lastRenderedPageBreak/>
              <w:t>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lastRenderedPageBreak/>
              <w:t>99</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Литово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100</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Мартюши</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101</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Мосеево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102</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Могила неизвестного советского солдата</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Михеево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103</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Братская могила воинов Советской Армии, погибших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Посадниково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r w:rsidR="00C2067C" w:rsidRPr="00C2067C" w:rsidTr="00C206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3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lang w:bidi="ru-RU"/>
              </w:rPr>
            </w:pPr>
            <w:r w:rsidRPr="00C2067C">
              <w:rPr>
                <w:rFonts w:ascii="Times New Roman" w:hAnsi="Times New Roman" w:cs="Times New Roman"/>
                <w:b/>
                <w:bCs/>
                <w:sz w:val="24"/>
                <w:szCs w:val="24"/>
                <w:lang w:bidi="ru-RU"/>
              </w:rPr>
              <w:t>104</w:t>
            </w:r>
          </w:p>
        </w:tc>
        <w:tc>
          <w:tcPr>
            <w:tcW w:w="1243"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Братское кладбище воинов Советской Армии, умерших от ран в 1944 г.</w:t>
            </w:r>
          </w:p>
        </w:tc>
        <w:tc>
          <w:tcPr>
            <w:tcW w:w="1092"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Новоржевский район, деревня Ульяненки, (перезахоронение в дер. Крюково)</w:t>
            </w:r>
          </w:p>
        </w:tc>
        <w:tc>
          <w:tcPr>
            <w:tcW w:w="1344"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p>
        </w:tc>
        <w:tc>
          <w:tcPr>
            <w:tcW w:w="1087" w:type="pct"/>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lang w:bidi="ru-RU"/>
              </w:rPr>
            </w:pPr>
            <w:r w:rsidRPr="00C2067C">
              <w:rPr>
                <w:rFonts w:ascii="Times New Roman" w:hAnsi="Times New Roman" w:cs="Times New Roman"/>
                <w:sz w:val="24"/>
                <w:szCs w:val="24"/>
                <w:lang w:bidi="ru-RU"/>
              </w:rPr>
              <w:t>Решение Псковского облисполкома от 28.05.1986 № 265</w:t>
            </w:r>
          </w:p>
        </w:tc>
      </w:tr>
    </w:tbl>
    <w:p w:rsidR="00C2067C" w:rsidRP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b/>
          <w:sz w:val="24"/>
          <w:szCs w:val="24"/>
        </w:rPr>
        <w:t>Таблица 46 - Перечень выявленных объектов культурного наследия Псковской области</w:t>
      </w:r>
    </w:p>
    <w:tbl>
      <w:tblPr>
        <w:tblpPr w:leftFromText="180" w:rightFromText="180" w:vertAnchor="text" w:horzAnchor="page" w:tblpX="1431" w:tblpY="240"/>
        <w:tblOverlap w:val="never"/>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3531"/>
        <w:gridCol w:w="1213"/>
        <w:gridCol w:w="4290"/>
        <w:gridCol w:w="2654"/>
        <w:gridCol w:w="1757"/>
      </w:tblGrid>
      <w:tr w:rsidR="00C2067C" w:rsidRPr="00C2067C" w:rsidTr="00C2067C">
        <w:trPr>
          <w:trHeight w:val="23"/>
          <w:tblHeader/>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lastRenderedPageBreak/>
              <w:t>№ п\п</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Наименование</w:t>
            </w:r>
          </w:p>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объекта</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Датировка</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Местонахождение объекта</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Дата и № приказа об отнесении объекта, обладающего признаками объекта культурного наследия, к выявленным объектам культурного наследия</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Предлагаемая категория значения</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105</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«Гора Лобно 328 м»</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1901 г.</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Новоржевский район, Новоржевская волость, д. Власково, Гора Лобно 36 км от г. Новоржева, в сторону д. Макарово</w:t>
            </w:r>
          </w:p>
          <w:p w:rsidR="00C2067C" w:rsidRPr="00C2067C" w:rsidRDefault="00C2067C" w:rsidP="00C2067C">
            <w:pPr>
              <w:spacing w:after="0" w:line="240" w:lineRule="auto"/>
              <w:jc w:val="both"/>
              <w:rPr>
                <w:rFonts w:ascii="Times New Roman" w:hAnsi="Times New Roman" w:cs="Times New Roman"/>
                <w:sz w:val="24"/>
                <w:szCs w:val="24"/>
              </w:rPr>
            </w:pP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Государственного комитета Псковской области по охране объектов культурного наследия от 22.04.2016 № 176</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региональная</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106</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«Достопримечательное место: Фортификационные и инженерные сооружения времен 1-й Мировой войны: Святогорско-Новоржевская укрепленная позиция»</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Псковская область, Пушкиногорский район, Новоржевский район, Бежаницкий район. По линии: Пушкиногорский район – правый берег реки Великой (у д. Варагушино), д. Лешово, д. Жарки, д. Рытица, д. Бобры, д. Куялы; Новоржевский район – д. Литово, д. Алтун, д. Осинкино, д. Тараскино, д. Хахалево, д. Васьково-Иглино, д. Плясани, д. Большое Кузино; Бежаницкий район – д. Авинищи, д. Каменка, д. Большое Гагарино, д. Ашево, д. Гущино, д. Шилово, д. Федорыгино, д. Выдрино</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Приказ Государственного комитета Псковской области по охране объектов культурного наследия от 25.12.2018 № 469</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w:t>
            </w:r>
          </w:p>
        </w:tc>
      </w:tr>
      <w:tr w:rsidR="00C2067C" w:rsidRPr="00C2067C" w:rsidTr="00C2067C">
        <w:trPr>
          <w:trHeight w:val="23"/>
        </w:trPr>
        <w:tc>
          <w:tcPr>
            <w:tcW w:w="728"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b/>
                <w:bCs/>
                <w:sz w:val="24"/>
                <w:szCs w:val="24"/>
              </w:rPr>
            </w:pPr>
            <w:r w:rsidRPr="00C2067C">
              <w:rPr>
                <w:rFonts w:ascii="Times New Roman" w:hAnsi="Times New Roman" w:cs="Times New Roman"/>
                <w:b/>
                <w:bCs/>
                <w:sz w:val="24"/>
                <w:szCs w:val="24"/>
              </w:rPr>
              <w:t>107</w:t>
            </w:r>
          </w:p>
        </w:tc>
        <w:tc>
          <w:tcPr>
            <w:tcW w:w="3531"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«Достопримечательное место, связанное с жизнью В.Н. </w:t>
            </w:r>
            <w:r w:rsidRPr="00C2067C">
              <w:rPr>
                <w:rFonts w:ascii="Times New Roman" w:hAnsi="Times New Roman" w:cs="Times New Roman"/>
                <w:sz w:val="24"/>
                <w:szCs w:val="24"/>
              </w:rPr>
              <w:lastRenderedPageBreak/>
              <w:t>Татищева (1686-1750): место усадьбы в д. Барсука (Новоржевский район, Выборская волость)»,</w:t>
            </w:r>
          </w:p>
        </w:tc>
        <w:tc>
          <w:tcPr>
            <w:tcW w:w="1213"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XVII в. – начало </w:t>
            </w:r>
            <w:r w:rsidRPr="00C2067C">
              <w:rPr>
                <w:rFonts w:ascii="Times New Roman" w:hAnsi="Times New Roman" w:cs="Times New Roman"/>
                <w:sz w:val="24"/>
                <w:szCs w:val="24"/>
              </w:rPr>
              <w:lastRenderedPageBreak/>
              <w:t>XX в.</w:t>
            </w:r>
          </w:p>
        </w:tc>
        <w:tc>
          <w:tcPr>
            <w:tcW w:w="4290"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Псковская область, Новоржевский район, деревня Барсуки</w:t>
            </w:r>
          </w:p>
        </w:tc>
        <w:tc>
          <w:tcPr>
            <w:tcW w:w="2654"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Приказ Комитета по охране объектов </w:t>
            </w:r>
            <w:r w:rsidRPr="00C2067C">
              <w:rPr>
                <w:rFonts w:ascii="Times New Roman" w:hAnsi="Times New Roman" w:cs="Times New Roman"/>
                <w:sz w:val="24"/>
                <w:szCs w:val="24"/>
              </w:rPr>
              <w:lastRenderedPageBreak/>
              <w:t>культурного наследия Псковской области от 06.08.2020 № 428</w:t>
            </w:r>
          </w:p>
        </w:tc>
        <w:tc>
          <w:tcPr>
            <w:tcW w:w="1757" w:type="dxa"/>
            <w:tcBorders>
              <w:tl2br w:val="nil"/>
              <w:tr2bl w:val="nil"/>
            </w:tcBorders>
            <w:shd w:val="clear" w:color="auto" w:fill="auto"/>
            <w:vAlign w:val="center"/>
          </w:tcPr>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регионального</w:t>
            </w:r>
          </w:p>
        </w:tc>
      </w:tr>
    </w:tbl>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C2067C">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pPr>
    </w:p>
    <w:p w:rsidR="00C2067C" w:rsidRDefault="00C2067C" w:rsidP="005D2FF0">
      <w:pPr>
        <w:spacing w:after="0" w:line="240" w:lineRule="auto"/>
        <w:jc w:val="both"/>
        <w:rPr>
          <w:rFonts w:ascii="Times New Roman" w:hAnsi="Times New Roman" w:cs="Times New Roman"/>
          <w:sz w:val="24"/>
          <w:szCs w:val="24"/>
        </w:rPr>
        <w:sectPr w:rsidR="00C2067C" w:rsidSect="00C2067C">
          <w:pgSz w:w="16838" w:h="11906" w:orient="landscape"/>
          <w:pgMar w:top="1701" w:right="1134" w:bottom="992" w:left="1134" w:header="709" w:footer="709" w:gutter="0"/>
          <w:cols w:space="708"/>
          <w:docGrid w:linePitch="360"/>
        </w:sectPr>
      </w:pP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В соответствии с Федеральным законом от 25.06.2002 № 73-ФЗ «Об объектах культурного наследия (памятниках истории и культуры) народов Российской Федерации», приказом Министерства культуры Российской Федерации от 01.09.2015 № 2328 «Об утверждении перечня отдельных сведений об объектах археологического наследия, которые не подлежат опубликованию» не подлежат опубликованию:</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местонахождении объекта археологического наследия (адрес объекта или при его отсутствии описание местоположения объекта).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Фотографическое (иное графическое) изображение объекта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наличии или об отсутствии зон охраны объекта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Сведения о предмете охраны объекта археологического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Псковской области органом государственной власти, уполномоченным в области сохранения, использования, популяризации и государственной охраны объектов культурного наследия является Министерство культурного наследия Псковской области.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данным, предоставленным </w:t>
      </w:r>
      <w:hyperlink r:id="rId27" w:history="1">
        <w:r w:rsidRPr="00C2067C">
          <w:rPr>
            <w:rStyle w:val="a9"/>
            <w:rFonts w:ascii="Times New Roman" w:hAnsi="Times New Roman" w:cs="Times New Roman"/>
            <w:sz w:val="24"/>
            <w:szCs w:val="24"/>
          </w:rPr>
          <w:t>Комитетом по охране объектов культурного наследия Псковской области</w:t>
        </w:r>
      </w:hyperlink>
      <w:r w:rsidRPr="00C2067C">
        <w:rPr>
          <w:rFonts w:ascii="Times New Roman" w:hAnsi="Times New Roman" w:cs="Times New Roman"/>
          <w:sz w:val="24"/>
          <w:szCs w:val="24"/>
        </w:rPr>
        <w:t xml:space="preserve">, на территории Новоржевского района находятся 103 объектов культурного наследия, среди них 45 – объекты федерального значения , 58 – объектов регионального значения. Кроме того, имеется 3 выявленных объекта культурного наследия регионального значения.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Объекты культурного наследия Новоржевского муниципального района подразделяются по назначению: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памятники археологии - 41;</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памятники архитектуры - 42;</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 памятники истории - 20.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археологии – источник информации о прошлом; их изучение позволяет узнать многое о жизни наших далеких предков, о религиозных представлениях, обычаях, социальных нормах общества в тот или иной временной период.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археологии - объекты культурного наследия </w:t>
      </w:r>
      <w:r w:rsidRPr="00C2067C">
        <w:rPr>
          <w:rFonts w:ascii="Times New Roman" w:hAnsi="Times New Roman" w:cs="Times New Roman"/>
          <w:i/>
          <w:iCs/>
          <w:sz w:val="24"/>
          <w:szCs w:val="24"/>
        </w:rPr>
        <w:t>федерального значения</w:t>
      </w:r>
      <w:r w:rsidRPr="00C2067C">
        <w:rPr>
          <w:rFonts w:ascii="Times New Roman" w:hAnsi="Times New Roman" w:cs="Times New Roman"/>
          <w:sz w:val="24"/>
          <w:szCs w:val="24"/>
        </w:rPr>
        <w:t xml:space="preserve"> представлены курганами и курганными группами, городищами, селищами, каменными крестами, грунтовыми и жальничными могильниками. Места сосредоточения наибольшего количества курганов и курганных групп расположены близ населенных пунктов Ямища и Исаково. Городища и селища расположены в деревнях Гущино, Выбор, Дубровы, Липовик и Крекшино. Каменные кресты обнаружены в деревнях Гущино, Крюково и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археологических памятников запрещаются все виды хозяйственной деятельности, связанные с земляными работами, за исключением работ направленных на сохранение объектов археологического наследия. Основными видами работ по сохранению археологического наследия являются спасательные археологические полевые работы (раскопки и разведки). Работы по выявлению и изучению объектов археологического наследия (далее-археологические полевые работы) проводятся на основании выдаваемого сроком не более чем на один год, в порядке, устанавливаемом уполномоченным Правительством Российской Федерации федеральным органом исполнительной власти, разрешения (открытого листа) на право проведения работ определенного вида на объекте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Любые земляные работы на земельных участках, в пределах которых располагаются объекты археологического наследия (памятники археологии) могут производиться только при наличии в проектной документации раздела по обеспечению сохранности </w:t>
      </w:r>
      <w:r w:rsidRPr="00C2067C">
        <w:rPr>
          <w:rFonts w:ascii="Times New Roman" w:hAnsi="Times New Roman" w:cs="Times New Roman"/>
          <w:sz w:val="24"/>
          <w:szCs w:val="24"/>
        </w:rPr>
        <w:lastRenderedPageBreak/>
        <w:t>объекта культурного наследия и согласования проектной документации с органом исполнительной власти, уполномоченным в области охраны объектов культурного наследия Псковской области.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зависимости от типа памятника рекомендуются следующие параметры при определении границ территории объектов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курганов высотой: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от 1 м - не менее 50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до 2 м - не менее 75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до 3 м - не менее 125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свыше 3 м - 150 м от подошвы кургана по всему его периметру;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 проектировании рекомендуется учитывать в качестве временной охранной зоны для памятников археологии, расположенных в непосредственной близости от планируемых объектов (транспортных и инженерных коммуникаций) следующие отступы от границ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проезжей части магистралей скоростного и непрерывного движения на плоском рельефе - не менее 50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сетей водопровода, канализации и теплоснабжения (кроме разводящих) -15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для других подземных инженерных сетей -5 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представлены полностью или частично сохранившимися зданиями церквей, усадебных построек, помещичьих домов.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w:t>
      </w:r>
      <w:r w:rsidRPr="00C2067C">
        <w:rPr>
          <w:rFonts w:ascii="Times New Roman" w:hAnsi="Times New Roman" w:cs="Times New Roman"/>
          <w:i/>
          <w:iCs/>
          <w:sz w:val="24"/>
          <w:szCs w:val="24"/>
        </w:rPr>
        <w:t>федерального значени</w:t>
      </w:r>
      <w:r w:rsidRPr="00C2067C">
        <w:rPr>
          <w:rFonts w:ascii="Times New Roman" w:hAnsi="Times New Roman" w:cs="Times New Roman"/>
          <w:sz w:val="24"/>
          <w:szCs w:val="24"/>
        </w:rPr>
        <w:t xml:space="preserve">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Покровской церкви в д. Барута. Церковь построена из кирпича в 1762 году на месте прежней.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Ансамбль Преображенской церкви в д. Вехно. Церковь построена из камня в 1763 г. на средства помещика майора И.М. Кокошкина на месте ветхой деревянной церкви. Храм освящён в 1767 г. Трехъярусная колокольня пристроена позднее. В 1877 году вокруг церкви была установлена каменная ограда, а в 1900 году – ворота. Храм никогда не закрывался.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Каменная церковь в честь Казанской иконы Божьей матери с двумя престолами и колокольней в д. Посадниково сооружена в 1739 г. владельцем села А.Г. Ланским. В 1881 г. осуществлен ремонт и украшение церкви. На сегодняшний день церковь не действует. В ней проведены лишь первоначальные консервационные работы.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дом Баруздина (Бороздина) расположен на территории усадьбы в д. Ладино. Дом постройки второй половины XVIII в. окружен усадебным парком - памятником садово-паркового искусства (объект культурного наследия регионального значения). В плане бывший помещичий дом имеет П-образную форму, вытянут по оси север-юг. Стиль – позднее борокко, эклектика. Основу внутренней планировки его первого (кирпичного) этажа составляют западная и восточная анфилады покоев. Напротив хозяйского дома имеется деревянный флигель. Недалеко от него (вне пределов парка) сохранились хозяйственные постройки: скотный двор и валунной кладки амбар. В структуре парка до сих пор сохраняются два фруктовых сада и липовые аллеи. Парк окружает сложная система прудов и каналов, которые в прошлом были соединены с расположенным рядом с усадьбой озером. Сегодня значительное число парковых деревьев вырублено. Часть прудов заросла и засорена бытовыми отходами, мусором, ветками растений и т.п.</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архитектуры и садово-паркового искусства </w:t>
      </w:r>
      <w:r w:rsidRPr="00C2067C">
        <w:rPr>
          <w:rFonts w:ascii="Times New Roman" w:hAnsi="Times New Roman" w:cs="Times New Roman"/>
          <w:i/>
          <w:iCs/>
          <w:sz w:val="24"/>
          <w:szCs w:val="24"/>
        </w:rPr>
        <w:t>регионального значения</w:t>
      </w:r>
      <w:r w:rsidRPr="00C2067C">
        <w:rPr>
          <w:rFonts w:ascii="Times New Roman" w:hAnsi="Times New Roman" w:cs="Times New Roman"/>
          <w:sz w:val="24"/>
          <w:szCs w:val="24"/>
        </w:rPr>
        <w:t xml:space="preserve"> представлены следующими объектами культурного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Рождества Христова, XVIII в. располагалась в г. Новоржев, сгорела во время Великой Отечественной войны. В 1999 г. на ее месте построена новая церковь, унаследовавшая ее название.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Дом купцов Платишенских – Песецких расположенный в г. Новоржев. В здании расположен Музей партизанской славы.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Доходный дом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Здание типографии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Кузница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Пожарное депо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Здание поликлиники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Складские помещения и хозяйственные пристройки – г. Новоржев.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с колокольней 1763 г. постройки в д. Вехно.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Успения Пресвятой Богородицы с колокольней 1807 г. постройки в д.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Христова с колокольней 1768 г. постройки в д. Ладино.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Успения Пресвятой Богородицы 1787 г. постройки в д. Столбушино.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Руины церкви в д. Бараново.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Троицы Живоначальной 1756 г. постройки в д. Гривно (Гривино).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Часовня в д. Слобода (Большая Слобода),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Воскресения Христова 1777 г. постройки в д.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Параскевы Пятницы в бывшей д. Богданово.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Усадьба Львовых в д. Алтун постройки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Усадьба славилась своим богатством, роскошью интерьеров, картинной галереей. В начале ХХ века имение состояло из двух господских домов, расположенных на берегу озера и окруженных усадебным парком. Парадный (кирпичный) дом с учетом башен был четырехэтажным, парадный вход был обращен на запад, выход на озеро был обустроен широкой мраморной лестницей. Жилая площадь здания составляла более десяти тысяч квадратных метров. В нем были предусмотрены все удобства: центральное отопление, водопровод, электрическое освещение. Судя по всему, роскошное строение было задумано для приема гостей, т.к. сами хозяева летом предпочитали оставаться в старом деревянном доме, который стоял по соседству над прудом. Береговая линия пруда была облицована валунным камнем и повторяла очертания двух континентов – Южной и Северной Америки. В имении работали винокуренный, кирпичный и черепичный заводы. Здесь было развито скотоводство и молочное хозяйство, разводили чистопородных овец и свиней, был конный завод, семенное хозяйство. Парк окружающий усадьбу занимал 32 га на южном берегу озера Алтун и включал систему искусственных прудов. От усадьбы на данный момент сохранилось несколько хозяйственных строений: спиртохранилище, скотный двор, рига, каретная, руины ветряной мельницы и два ледника. В парке сохранились искусственные пруды, вековые деревья местной флоры и экзоты – сосна сибирская, сосна Веймутова, лиственница сибирская, липа европейская.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iCs/>
          <w:sz w:val="24"/>
          <w:szCs w:val="24"/>
        </w:rPr>
        <w:t>Б</w:t>
      </w:r>
      <w:r w:rsidRPr="00C2067C">
        <w:rPr>
          <w:rFonts w:ascii="Times New Roman" w:hAnsi="Times New Roman" w:cs="Times New Roman"/>
          <w:sz w:val="24"/>
          <w:szCs w:val="24"/>
        </w:rPr>
        <w:t xml:space="preserve">арская усадьба в д. Вехно. На данный момент сохранился усадебный парк второй половины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с вековыми деревьями местной флоры (дуб, вяз, ясень, клен) и церковь Преображения господня 1763 г. постройки.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Среднепоместная усадьба в д. Стехново. На данный момент сохранился усадебный парк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с остатками вековых деревьев местной флоры.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Имение Елагиных (Петровское), где провел детские годы художник-иллюстратор А.А.Агин (1817-1875 гг.) в д. Петровское (Иваньково). Сохранились лишь остатки фундамента помещичьего дома.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Помещичий дом Вревских (Обольяниновых) в д. Крутцы. Сохранились: флигель, ледник, скотный двор, система прудов и водяных каскадов, а также остатки усадебного парка с вековыми деревьями местной флоры (вязы, дубы, липы, душистый тополь).</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Мельницы в деревнях Фатьяново и Коньково.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Хозяйственные постройки в деревнях Макарово и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Усадебный парк второй половины XVIII – начала Х</w:t>
      </w:r>
      <w:r w:rsidRPr="00C2067C">
        <w:rPr>
          <w:rFonts w:ascii="Times New Roman" w:hAnsi="Times New Roman" w:cs="Times New Roman"/>
          <w:sz w:val="24"/>
          <w:szCs w:val="24"/>
          <w:lang w:val="en-US"/>
        </w:rPr>
        <w:t>I</w:t>
      </w:r>
      <w:r w:rsidRPr="00C2067C">
        <w:rPr>
          <w:rFonts w:ascii="Times New Roman" w:hAnsi="Times New Roman" w:cs="Times New Roman"/>
          <w:sz w:val="24"/>
          <w:szCs w:val="24"/>
        </w:rPr>
        <w:t>Х вв. некогда принадлежал семье Баруздиных (Бороздиных). В парке произрастают дубы, липы, клены, возраст которых превышает 200 лет.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Историческая застройка главной улицы (г. Новоржев)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Двухэтажные каменные дома периода эклектики, имеют средовое значение в историческом центре города.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Комплекс купеческих домов конца XIX - начала XX в (г.Новоржев). Интересный комплекс одно-двухэтажных валунно-кирпичных купеческих зданий в центре города, на базарной площади. Имеют опорное значение в историческом ансамбле. Образец традиционных строений местного характера.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Рождественское кладбище XIX в. - 1929 г. Сохранилась кирпичновалунная ограда со столбиками, мощные круглые столбы ворот. Церковь Рождества Христова ("Красная") сгорела в годы Великой Отечественной войны.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в д. Лукино заложена 8 мая 1906 г. (дата на закладном камне). Квадратная в плане, под четырехскатной кровлей, одноглавая. Материал - валун, голландская черепица; металлические кованые решетки. Состояние – ветхое.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i/>
          <w:iCs/>
          <w:sz w:val="24"/>
          <w:szCs w:val="24"/>
        </w:rPr>
        <w:t>Памятники садово-паркового</w:t>
      </w:r>
      <w:r w:rsidRPr="00C2067C">
        <w:rPr>
          <w:rFonts w:ascii="Times New Roman" w:hAnsi="Times New Roman" w:cs="Times New Roman"/>
          <w:sz w:val="24"/>
          <w:szCs w:val="24"/>
        </w:rPr>
        <w:t xml:space="preserve"> искусства на территории Новоржевского района поставлены на государственную охрану решением Псковского областного Собрания депутатов от 25.04.1996 «О сохранности старинных парков-памятников садово-паркового искусства Псковской области», согласно которому: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Памятниками садово-паркового искусства являются парки, имеющие значение как памятники ландшафтной и парковой архитектуры, в создание которых вложен труд многих поколений, отличающиеся богатым составом интродуцированных пород деревьев и кустарников, а также дендрологические и мемориальные насаждения, имеющие научное, просветительское и эстетическое значение.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старинных парков - памятников садово-паркового искусства запрещается: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Строительство, не связанное с охраной и реконструкцией парка.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Вырубка живых и относительно здоровых деревьев и кустарников (мемориальные деревья сохраняются до их естественного отмирания), а также проведение мероприятий, изменяющих структуру парка.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Посадка деревьев и кустарников без плана реконструкции.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Промышленная эксплуатация природных ресурсов: охота, заготовка древесины, подсочка деревьев, пастьба скота, добыча общераспространенных полезных ископаемых.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Нарушение почвенного покрова любым путем.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Уничтожение диких животных, разорение гнезд и нор, повреждение деревьев, кустарников и других растений и другие действия, вызывающие ухудшение природной среды.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стоянок автотранспорта.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Прокладка дорог и коммуникаций, установление опор ЛЭП и линий связи без соответствующего разрешения областного управления по делам архитектуры и градостроительства и согласования с органами охраны памятников и природы.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Реконструкция старинных парков - памятников садово-паркового искусства проводится по специально разработанным проектам, утвержденным областным комитетом по культуре и туризму и областным комитетом по охране природы.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каждого старинного парка - памятника на основе данных о его ценности и состоянии разрабатывается система мероприятий по охране и уходу, включая снос или перемещение за пределы парка строений, функционально с ним не связанных.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старинных парках - памятниках садово-паркового искусства рекомендуется проведение следующих работ: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Уборка сухих и усыхающих деревьев, вырубка малоценных видов деревьев (ива, осина, ольха серая), обрезка сухих сучьев, заделка дупел.</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Оформление тропиночно-дорожной сети.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Очистка прудов, каналов, осушение заболоченных участков при наличии проектной документации.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Скашивание травы на освещенных газонах с преобладанием</w:t>
      </w:r>
      <w:r w:rsidRPr="00C2067C">
        <w:rPr>
          <w:rFonts w:ascii="Times New Roman" w:hAnsi="Times New Roman" w:cs="Times New Roman"/>
          <w:sz w:val="24"/>
          <w:szCs w:val="24"/>
        </w:rPr>
        <w:br/>
        <w:t>луговых злаков.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Очистка территории от мусора.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Цветочное оформление парков.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5.7. Улучшение состояния дорожно-тропиночной сети без применения твердого покрытия.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Памятники истории - объекты культурного наследия </w:t>
      </w:r>
      <w:r w:rsidRPr="00C2067C">
        <w:rPr>
          <w:rFonts w:ascii="Times New Roman" w:hAnsi="Times New Roman" w:cs="Times New Roman"/>
          <w:i/>
          <w:iCs/>
          <w:sz w:val="24"/>
          <w:szCs w:val="24"/>
          <w:u w:val="single"/>
        </w:rPr>
        <w:t>регионального значения</w:t>
      </w:r>
      <w:r w:rsidRPr="00C2067C">
        <w:rPr>
          <w:rFonts w:ascii="Times New Roman" w:hAnsi="Times New Roman" w:cs="Times New Roman"/>
          <w:sz w:val="24"/>
          <w:szCs w:val="24"/>
        </w:rPr>
        <w:t xml:space="preserve"> представлены воинскими захоронениями, местами боев периода Великой Отечественной войны, объектами, связанными с историческими личностями и монументами.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Братские и одиночные могилы советских воинов, партизан и жертв из числа мирных жителей расположены повсеместно и, большей частью, отмечены монументами.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г. Новоржев расположена школа, в которой учился Герой Советского Союза Заходский А.И.,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 танк в честь воинов 2-го Прибалтийского фронта, освободившего в 1944 г. город от немецко-фашистских захватчиков.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Южнее д. Бородино сохранились окопы, траншеи, противотанковый ров на месте прорыва в 1944 г. линии фашистских укреплений «Пантера», где героически сражались 28 советских воинов.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д. Житница находится место боя 3-й партизанской бригады в 1943 г., в котором погиб Герой Советского Союза Герман А.В.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г. Новоржев установлены памятный знак-барельеф Б.С. Трояновскому – основоположнику современной школы виртуозного исполнительства на балалайке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и мемориальная доска А.С. Пушкину – великому русскому поэту, драматургу и прозаику XIX в., неоднократно посещавшему эти места.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д. Барута расположено имение писателя Я.Б. Княжнина. Он родился в г. Псков, но неоднократно приезжал в свое имение в Барутском стане Пусторжевского (позже Новоржевского) уезда.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количеству и значимости объектов культурного наследия в Новоржевском районе можно выделить ряд старинных деревень, которые вправе претендовать на статус исторических: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Алтун (усадьба помещиков Львовых),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Бараново (руины церкви Покрова Пресвятой Богородицы),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Барута (Ансамбль </w:t>
      </w:r>
      <w:r w:rsidRPr="00C2067C">
        <w:rPr>
          <w:rFonts w:ascii="Times New Roman" w:hAnsi="Times New Roman" w:cs="Times New Roman"/>
          <w:iCs/>
          <w:sz w:val="24"/>
          <w:szCs w:val="24"/>
        </w:rPr>
        <w:t>Покровской</w:t>
      </w:r>
      <w:r w:rsidRPr="00C2067C">
        <w:rPr>
          <w:rFonts w:ascii="Times New Roman" w:hAnsi="Times New Roman" w:cs="Times New Roman"/>
          <w:sz w:val="24"/>
          <w:szCs w:val="24"/>
        </w:rPr>
        <w:t xml:space="preserve"> церкви </w:t>
      </w:r>
      <w:r w:rsidRPr="00C2067C">
        <w:rPr>
          <w:rFonts w:ascii="Times New Roman" w:hAnsi="Times New Roman" w:cs="Times New Roman"/>
          <w:sz w:val="24"/>
          <w:szCs w:val="24"/>
          <w:lang w:val="en-US"/>
        </w:rPr>
        <w:t>XVIII</w:t>
      </w:r>
      <w:r w:rsidRPr="00C2067C">
        <w:rPr>
          <w:rFonts w:ascii="Times New Roman" w:hAnsi="Times New Roman" w:cs="Times New Roman"/>
          <w:sz w:val="24"/>
          <w:szCs w:val="24"/>
        </w:rPr>
        <w:t>-</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вв., имение писателя Я.Б. Княжнина),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Вехно (ансамбль Преображенской церкви 1758 – 1763 гг., церковь Воскресения с колокольней, археология, барская усадьба с парком),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Выбор (археология, церковь XIX в., братская могила),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Гривно (Гривино) (церковь Троицы 1751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Крутцы (помещичий дом Вревских (Обольяниновых),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Ладино (усадебный дом помещиков Баруздиных (Бороздиных) </w:t>
      </w:r>
      <w:r w:rsidRPr="00C2067C">
        <w:rPr>
          <w:rFonts w:ascii="Times New Roman" w:hAnsi="Times New Roman" w:cs="Times New Roman"/>
          <w:sz w:val="24"/>
          <w:szCs w:val="24"/>
          <w:lang w:val="en-US"/>
        </w:rPr>
        <w:t>XVIII</w:t>
      </w:r>
      <w:r w:rsidRPr="00C2067C">
        <w:rPr>
          <w:rFonts w:ascii="Times New Roman" w:hAnsi="Times New Roman" w:cs="Times New Roman"/>
          <w:sz w:val="24"/>
          <w:szCs w:val="24"/>
        </w:rPr>
        <w:t>-</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вв. с парком, церковь Воскресения 1768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Петровское (имение Елагиных),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Посадниково (Казанская церковь, 1739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Слобода (Большая Слобода) (часовня),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Стехново (среднепоместная усадьба с парком),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Столбушино (церковь Успения 1787 г.),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Сторожня (церковь Воскресения 1777г.г., хоз. постройки).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Кроме того, на территории Новоржевского района расположены выявленные объекты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«Гора Лобно 328 м», 1901 г, расположен: Псковская область, Новоржевский район, Новоржевская волость, д. Власково, Гора Лобно 36 км от г. Новоржева, в сторону д. Макарово (Приказ Государственного комитета Псковской области по охране объектов культурного наследия от 22.04.2016 № 176);</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«Достопримечательное место: Фортификационные и инженерные сооружения времен 1-й Мировой войны: Святогорско-Новоржевская укрепленная позиция» расположение: Псковская область, Пушкиногорский район, Новоржевский район, Бежаницкий район. По линии: Пушкиногорский район – правый берег реки Великой (у д. Варагушино), д. Лешово, д. Жарки, д. Рытица, д. Бобры, д. Куялы; Новоржевский район – д. Литово, д. Алтун, д. Осинкино, д. Тараскино, д. Хахалево, д. Васьково-Иглино, д. Плясани, д. Большое Кузино; Бежаницкий район – д. Авинищи, д. Каменка, д. Большое Гагарино, д. Ашево, д. Гущино, д. Шилово, д. Федорыгино, д. Выдрино (Приказ Государственного комитета Псковской области по охране объектов культурного наследия от 25.12.2018 № 469);</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«Достопримечательное место, связанное с жизнью В.Н. Татищева (1686-1750): место усадьбы в д. Барсука (Новоржевский район, Выборская волость)», </w:t>
      </w:r>
      <w:r w:rsidRPr="00C2067C">
        <w:rPr>
          <w:rFonts w:ascii="Times New Roman" w:hAnsi="Times New Roman" w:cs="Times New Roman"/>
          <w:sz w:val="24"/>
          <w:szCs w:val="24"/>
          <w:lang w:val="en-US"/>
        </w:rPr>
        <w:t>XVII</w:t>
      </w:r>
      <w:r w:rsidRPr="00C2067C">
        <w:rPr>
          <w:rFonts w:ascii="Times New Roman" w:hAnsi="Times New Roman" w:cs="Times New Roman"/>
          <w:sz w:val="24"/>
          <w:szCs w:val="24"/>
        </w:rPr>
        <w:t xml:space="preserve"> в. – начало </w:t>
      </w:r>
      <w:r w:rsidRPr="00C2067C">
        <w:rPr>
          <w:rFonts w:ascii="Times New Roman" w:hAnsi="Times New Roman" w:cs="Times New Roman"/>
          <w:sz w:val="24"/>
          <w:szCs w:val="24"/>
          <w:lang w:val="en-US"/>
        </w:rPr>
        <w:t>XX</w:t>
      </w:r>
      <w:r w:rsidRPr="00C2067C">
        <w:rPr>
          <w:rFonts w:ascii="Times New Roman" w:hAnsi="Times New Roman" w:cs="Times New Roman"/>
          <w:sz w:val="24"/>
          <w:szCs w:val="24"/>
        </w:rPr>
        <w:t xml:space="preserve"> в., расположение: Псковская область, Новоржевский район, деревня Барсуки (Приказ Комитета по охране объектов культурного наследия Псковской области от 06.08.2020 № 428).</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Сохранение культурного наследия является одним из важнейших условий для сохранения духовности, поддержания культурных традиций и развития культурно-познавательного туризма. В первую очередь необходимы мероприятия по сохранению конфессиональных объектов, зачастую пребывающих в заброшенном состоянии. Необходимо передавать недействующие храмы Русской Православной церкви.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основании проведенного анализа существующего состояния объектов историко-культурного наследия с целью их дальнейшего сохранения предлагаются следующие взаимосвязанные группы мероприятий по охране культурного наследия, имеющие территориальный характер.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Новоржеве проходят музыкальные фестивали имени Бориса Трояновского и Ольги Сергеевой, которые организует, совместно с филармонией, областной Центр народного творчества. ОЦНТ занимается также сохранением, и изучением, и пропагандой других нематериальных форм традиционной культуры: сказительства, этномедицины, этнопедагогики и т.д. В результате научных фольклорных экспедиций издан фундаментальный труд «Традиционная культура Псковской земли», ставший основой в работе многочисленных любительских и профессиональных коллективов, связанных с народным творчеством.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Мероприятия на первую очередь</w:t>
      </w:r>
    </w:p>
    <w:p w:rsidR="00C2067C" w:rsidRPr="00C2067C" w:rsidRDefault="00C2067C" w:rsidP="00C2067C">
      <w:pPr>
        <w:spacing w:after="0" w:line="240" w:lineRule="auto"/>
        <w:jc w:val="both"/>
        <w:rPr>
          <w:rFonts w:ascii="Times New Roman" w:hAnsi="Times New Roman" w:cs="Times New Roman"/>
          <w:bCs/>
          <w:sz w:val="24"/>
          <w:szCs w:val="24"/>
          <w:u w:val="single"/>
        </w:rPr>
      </w:pPr>
      <w:r w:rsidRPr="00C2067C">
        <w:rPr>
          <w:rFonts w:ascii="Times New Roman" w:hAnsi="Times New Roman" w:cs="Times New Roman"/>
          <w:bCs/>
          <w:sz w:val="24"/>
          <w:szCs w:val="24"/>
          <w:u w:val="single"/>
        </w:rPr>
        <w:t>По углублению и расширению исследований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Выявление объектов культурного наследия в целях их дальнейшего включения в единый государственный реестр объектов культурного наследия (памятников истории и культуры) народов Российской федерации в качестве объектов культурного наследия местного (муниципального)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документации необходимой для включения объектов культурного наследия в Единый государственный реестр, документационное обеспечение учета объектов культурного наследия, объектов, обладающих признаками объекта культурного наследия, и объектов, представляющих историко-культурную ценность;</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Исследование старинных сельских поселений района в целях обоснования предоставления им статуса исторических поселений (дд. Алтун, Бараново, Барута, Вехно, Выбор, Гривно (Гривино), Крутцы, Ладино, Петровское, Посадниково, Слобода (Большая Слобода), Стехново, Столбушино, Сторожня);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Составления списков объектов нематериального и устного наследия, потенциальных для взятия под охрану и обеспечение их сохранения.</w:t>
      </w:r>
    </w:p>
    <w:p w:rsidR="00C2067C" w:rsidRPr="00C2067C" w:rsidRDefault="00C2067C" w:rsidP="00C2067C">
      <w:pPr>
        <w:spacing w:after="0" w:line="240" w:lineRule="auto"/>
        <w:jc w:val="both"/>
        <w:rPr>
          <w:rFonts w:ascii="Times New Roman" w:hAnsi="Times New Roman" w:cs="Times New Roman"/>
          <w:bCs/>
          <w:sz w:val="24"/>
          <w:szCs w:val="24"/>
          <w:u w:val="single"/>
        </w:rPr>
      </w:pPr>
      <w:r w:rsidRPr="00C2067C">
        <w:rPr>
          <w:rFonts w:ascii="Times New Roman" w:hAnsi="Times New Roman" w:cs="Times New Roman"/>
          <w:bCs/>
          <w:sz w:val="24"/>
          <w:szCs w:val="24"/>
          <w:u w:val="single"/>
        </w:rPr>
        <w:t xml:space="preserve">По совершенствованию учета и охранного зонирования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установлению границ территорий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определению предмета охраны объектов 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Отнесение земельных участков, в пределах которых располагаются объекты культурного наследия к землям историко-культурного назначения, постановка на кадастровый учет;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Приведение на территории Новоржевского района учета выявленных памятников археологии на уровне, соответствующем их правовому статусу объектов культурного наследия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работы по разработке проектов зон охраны объектов культурного наследия, расположенных на территории Новоржевского района. В первую очередь в г. Новоржеве и сельских населенных пунктах дд. Алтун, Бараново, Барута, Вехно, Выбор, Гривно, Крутцы, Ладино, Петровское, Посадниково, Слобода (Большая Слобода), Стехново, Столбушино, Сторожня;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Выделение зон, имеющих особые условия использования территорий из-за повышенной ценности и концентрации в их границах объектов культурного наследия, с их возможной фиксацией, охраной и использованием, как достопримечательных мест: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Коридор визуального восприятия культурного ландшафта вдоль трасс исторических трактов Новогородка – Новоржев и Псков – Великие Луки, включающие ценные природные и культурные ландшафты (усадебный комплекс в д. Алтун, Барская усадьба, Ансамбль Преображенской церкви и памятники археологии в д. Вехно, исторический город Новоржев с прилегающей системой озер Орша и Росцо, усадебный комплекс Имение Елагиных (Петровское) в д. Петровское (Иваньково), Церковь Троицы с колокольней в д. Гривно (Гривино), Мельница у реки в д. Коньково).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 Посадниковское с окружающими его культурными и природными ландшафтами (Среднепоместная усадьба в д. Стехново, Казанская церковь в д. Посадниково, Усадьба Вревских (Обольяниновых) в д. Крутцы, погост Ругодево, объекты археологического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 Милья (памятники археологии близ деревень Выбор и Исаково).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системы озер Чернозерье (Городище Дубков).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Окрестности озер Столбушинское и Далысецкое (Усадебный комплекс дом Баруздина (Бороздина) в д. Ладино, Церковь Успения с колокольней в д. Столбушино, памятники археологии).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и реализация районной программы комплексного развития, сохранения наследия, совершенствования экологического состояния и рекреационно-туристского использования местностей, имеющих наиболее ценное культурное наследие.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Организация и содействие проведению мониторинга по контролю за состоянием и использованием объектов культурного наследия всех категорий значения на территории муниципального образования Новоржевский район.</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Установление системы ограничений хозяйственной деятельности для объектов археологического наследия, расположенных вне границ населенных пунктов в соответствии с п.5 Статьи 5.1. </w:t>
      </w:r>
      <w:hyperlink r:id="rId28" w:history="1">
        <w:r w:rsidRPr="00C2067C">
          <w:rPr>
            <w:rStyle w:val="a9"/>
            <w:rFonts w:ascii="Times New Roman" w:hAnsi="Times New Roman" w:cs="Times New Roman"/>
            <w:sz w:val="24"/>
            <w:szCs w:val="24"/>
          </w:rPr>
          <w:t>Федерального закона от 25.06.2002 N 73-ФЗ"Об объектах культурного наследия (памятниках истории и культуры) народов Российской Федерации"</w:t>
        </w:r>
      </w:hyperlink>
      <w:r w:rsidRPr="00C2067C">
        <w:rPr>
          <w:rFonts w:ascii="Times New Roman" w:hAnsi="Times New Roman" w:cs="Times New Roman"/>
          <w:sz w:val="24"/>
          <w:szCs w:val="24"/>
        </w:rPr>
        <w:t xml:space="preserve">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Особый режим использования земельного участка, в границах которого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w:t>
      </w:r>
      <w:hyperlink r:id="rId29" w:anchor="dst100183" w:history="1">
        <w:r w:rsidRPr="00C2067C">
          <w:rPr>
            <w:rStyle w:val="a9"/>
            <w:rFonts w:ascii="Times New Roman" w:hAnsi="Times New Roman" w:cs="Times New Roman"/>
            <w:sz w:val="24"/>
            <w:szCs w:val="24"/>
          </w:rPr>
          <w:t>статье 30</w:t>
        </w:r>
      </w:hyperlink>
      <w:r w:rsidRPr="00C2067C">
        <w:rPr>
          <w:rFonts w:ascii="Times New Roman" w:hAnsi="Times New Roman" w:cs="Times New Roman"/>
          <w:sz w:val="24"/>
          <w:szCs w:val="24"/>
        </w:rPr>
        <w:t> настоящего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Особый режим использования водного объекта или его части, в границах которых располагается объект археологического наследия, включенный в единый государственный реестр объектов культурного наследия (памятников истории и культуры) народов Российской Федерации, либо выявленный объект археологического наследия, предусматривает возможность проведения работ, определенных Водным</w:t>
      </w:r>
      <w:r w:rsidRPr="00C2067C">
        <w:rPr>
          <w:rFonts w:ascii="Times New Roman" w:hAnsi="Times New Roman" w:cs="Times New Roman"/>
          <w:sz w:val="24"/>
          <w:szCs w:val="24"/>
          <w:lang w:val="en-US"/>
        </w:rPr>
        <w:t> </w:t>
      </w:r>
      <w:hyperlink r:id="rId30" w:history="1">
        <w:r w:rsidRPr="00C2067C">
          <w:rPr>
            <w:rStyle w:val="a9"/>
            <w:rFonts w:ascii="Times New Roman" w:hAnsi="Times New Roman" w:cs="Times New Roman"/>
            <w:sz w:val="24"/>
            <w:szCs w:val="24"/>
          </w:rPr>
          <w:t>кодексом</w:t>
        </w:r>
      </w:hyperlink>
      <w:r w:rsidRPr="00C2067C">
        <w:rPr>
          <w:rFonts w:ascii="Times New Roman" w:hAnsi="Times New Roman" w:cs="Times New Roman"/>
          <w:sz w:val="24"/>
          <w:szCs w:val="24"/>
          <w:lang w:val="en-US"/>
        </w:rPr>
        <w:t> </w:t>
      </w:r>
      <w:r w:rsidRPr="00C2067C">
        <w:rPr>
          <w:rFonts w:ascii="Times New Roman" w:hAnsi="Times New Roman" w:cs="Times New Roman"/>
          <w:sz w:val="24"/>
          <w:szCs w:val="24"/>
        </w:rPr>
        <w:t>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N 73-ФЗ.</w:t>
      </w:r>
    </w:p>
    <w:p w:rsidR="00C2067C" w:rsidRPr="00C2067C" w:rsidRDefault="00C2067C" w:rsidP="00C2067C">
      <w:pPr>
        <w:spacing w:after="0" w:line="240" w:lineRule="auto"/>
        <w:jc w:val="both"/>
        <w:rPr>
          <w:rFonts w:ascii="Times New Roman" w:hAnsi="Times New Roman" w:cs="Times New Roman"/>
          <w:bCs/>
          <w:sz w:val="24"/>
          <w:szCs w:val="24"/>
          <w:u w:val="single"/>
        </w:rPr>
      </w:pPr>
      <w:r w:rsidRPr="00C2067C">
        <w:rPr>
          <w:rFonts w:ascii="Times New Roman" w:hAnsi="Times New Roman" w:cs="Times New Roman"/>
          <w:bCs/>
          <w:sz w:val="24"/>
          <w:szCs w:val="24"/>
          <w:u w:val="single"/>
        </w:rPr>
        <w:t>По использованию историко-культурного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Разработка концепции социально-экономического развития старинных сельских поселений и исторических поселений района, с учетом максимального сохранения и использования их культурного наследия;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Сохранение, консервация неиспользуемых культовых объектов, пребывающих в заброшенном состоянии;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Восстановление, реставрация недействующих и руинированных культовых объектов для использования по назначению, в том числе - Церковь Успения Пресвятой Богородицы в д. Выбор, Церковь Троицы Живоначальной в д. Гривно (Гривино), Церковь Воскресения Христова в д. Ладино, Церковь Успения Пресвятой Богородицы в д. Лобно, Неизвестная часовня в д. Лукино, Церковь Казанской иконы Божией Матери в д. Посадниково, Церковь Воскресения Христова в д. Сторожня, Часовня в д. Слобода (Большая Слобода).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Мероприятия на расчетный срок</w:t>
      </w:r>
    </w:p>
    <w:p w:rsidR="00C2067C" w:rsidRPr="00C2067C" w:rsidRDefault="00C2067C" w:rsidP="00C2067C">
      <w:pPr>
        <w:spacing w:after="0" w:line="240" w:lineRule="auto"/>
        <w:jc w:val="both"/>
        <w:rPr>
          <w:rFonts w:ascii="Times New Roman" w:hAnsi="Times New Roman" w:cs="Times New Roman"/>
          <w:bCs/>
          <w:sz w:val="24"/>
          <w:szCs w:val="24"/>
          <w:u w:val="single"/>
        </w:rPr>
      </w:pPr>
      <w:r w:rsidRPr="00C2067C">
        <w:rPr>
          <w:rFonts w:ascii="Times New Roman" w:hAnsi="Times New Roman" w:cs="Times New Roman"/>
          <w:bCs/>
          <w:sz w:val="24"/>
          <w:szCs w:val="24"/>
          <w:u w:val="single"/>
        </w:rPr>
        <w:t xml:space="preserve">По совершенствованию учета и охранного зонирования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для ряда предлагаемых исторических сельских поселений (дд. Алтун, Бараново, Барута, Вехно, Выбор, Гривно, Крутцы, Ладино, Петровское, Посадниково, Слобода (Большая Слобода), Стехново, Столбушино, Сторожня) Новоржевского района историко-культурных опорных планов и проектов зон охраны объектов культурного наследия.</w:t>
      </w:r>
    </w:p>
    <w:p w:rsidR="00C2067C" w:rsidRPr="00C2067C" w:rsidRDefault="00C2067C" w:rsidP="00C2067C">
      <w:pPr>
        <w:spacing w:after="0" w:line="240" w:lineRule="auto"/>
        <w:jc w:val="both"/>
        <w:rPr>
          <w:rFonts w:ascii="Times New Roman" w:hAnsi="Times New Roman" w:cs="Times New Roman"/>
          <w:bCs/>
          <w:sz w:val="24"/>
          <w:szCs w:val="24"/>
          <w:u w:val="single"/>
        </w:rPr>
      </w:pPr>
      <w:r w:rsidRPr="00C2067C">
        <w:rPr>
          <w:rFonts w:ascii="Times New Roman" w:hAnsi="Times New Roman" w:cs="Times New Roman"/>
          <w:bCs/>
          <w:sz w:val="24"/>
          <w:szCs w:val="24"/>
          <w:u w:val="single"/>
        </w:rPr>
        <w:t>По использованию историко-культурного наследия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Разработка комплексных схем сохранения наследия, охраны природы, развития туризма, в увязке с программой социально-экономического развития Новоржевского района.</w:t>
      </w:r>
    </w:p>
    <w:p w:rsidR="005D2FF0" w:rsidRDefault="005D2FF0" w:rsidP="005D2FF0">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i/>
          <w:sz w:val="24"/>
          <w:szCs w:val="24"/>
        </w:rPr>
      </w:pPr>
      <w:bookmarkStart w:id="82" w:name="_Toc216434259"/>
      <w:r w:rsidRPr="00C2067C">
        <w:rPr>
          <w:rFonts w:ascii="Times New Roman" w:hAnsi="Times New Roman" w:cs="Times New Roman"/>
          <w:b/>
          <w:bCs/>
          <w:i/>
          <w:sz w:val="24"/>
          <w:szCs w:val="24"/>
        </w:rPr>
        <w:t>3.9. Туристско-рекреационный комплекс</w:t>
      </w:r>
      <w:bookmarkEnd w:id="82"/>
    </w:p>
    <w:p w:rsidR="00C2067C" w:rsidRPr="00C2067C" w:rsidRDefault="00C2067C" w:rsidP="00C2067C">
      <w:pPr>
        <w:spacing w:after="0" w:line="240" w:lineRule="auto"/>
        <w:jc w:val="both"/>
        <w:rPr>
          <w:rFonts w:ascii="Times New Roman" w:hAnsi="Times New Roman" w:cs="Times New Roman"/>
          <w:b/>
          <w:bCs/>
          <w:i/>
          <w:sz w:val="24"/>
          <w:szCs w:val="24"/>
        </w:rPr>
      </w:pPr>
    </w:p>
    <w:p w:rsidR="00C2067C" w:rsidRPr="00C2067C" w:rsidRDefault="00C2067C" w:rsidP="00C2067C">
      <w:pPr>
        <w:spacing w:after="0" w:line="240" w:lineRule="auto"/>
        <w:jc w:val="both"/>
        <w:rPr>
          <w:rFonts w:ascii="Times New Roman" w:hAnsi="Times New Roman" w:cs="Times New Roman"/>
          <w:b/>
          <w:bCs/>
          <w:sz w:val="24"/>
          <w:szCs w:val="24"/>
        </w:rPr>
      </w:pPr>
      <w:bookmarkStart w:id="83" w:name="_Toc216434260"/>
      <w:r w:rsidRPr="00C2067C">
        <w:rPr>
          <w:rFonts w:ascii="Times New Roman" w:hAnsi="Times New Roman" w:cs="Times New Roman"/>
          <w:b/>
          <w:bCs/>
          <w:sz w:val="24"/>
          <w:szCs w:val="24"/>
        </w:rPr>
        <w:t>3.9.1. Оценка туристского потенциала</w:t>
      </w:r>
      <w:bookmarkEnd w:id="83"/>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район характеризуются благоприятными природно-климатическими условиями в летний сезон. С учетом других физико-географических характеристик и в соответствии с бонитировкой природных провинций страны (классификация Института географии РАН СССР) район отнесен к территориям благоприятным для организации рекреационной деятельности.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 своему географическому положению Новоржевский район относится к периферийной зоне обширного центрально-европейского рекреационного региона и к центральному рекреационному району внутри него. Территория Псковской области еще десятки лет назад в разработках Института географии АН СССР и ЦНИИЭП лечебно-курортных зданий</w:t>
      </w:r>
      <w:r w:rsidRPr="00C2067C">
        <w:rPr>
          <w:rFonts w:ascii="Times New Roman" w:hAnsi="Times New Roman" w:cs="Times New Roman"/>
          <w:iCs/>
          <w:sz w:val="24"/>
          <w:szCs w:val="24"/>
          <w:vertAlign w:val="superscript"/>
        </w:rPr>
        <w:footnoteReference w:id="4"/>
      </w:r>
      <w:r w:rsidRPr="00C2067C">
        <w:rPr>
          <w:rFonts w:ascii="Times New Roman" w:hAnsi="Times New Roman" w:cs="Times New Roman"/>
          <w:sz w:val="24"/>
          <w:szCs w:val="24"/>
        </w:rPr>
        <w:t xml:space="preserve"> была зарезервирована для развития санаторного лечения, отдыха и туризма.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Территория района располагает значительным рекреационным потенциалом, представленным как ландшафтно-рекреационными условиями и ресурсами, </w:t>
      </w:r>
      <w:r w:rsidRPr="00C2067C">
        <w:rPr>
          <w:rFonts w:ascii="Times New Roman" w:hAnsi="Times New Roman" w:cs="Times New Roman"/>
          <w:sz w:val="24"/>
          <w:szCs w:val="24"/>
        </w:rPr>
        <w:lastRenderedPageBreak/>
        <w:t xml:space="preserve">промысловой базой для развития регулируемой охоты и рыбной ловли, так и культурно-историческим наследием.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отличие от многих других районов области, располагающих значительной курортологической базой (Псковский, Невельский, Порховский районы), в Новоржевском районе бальнеологические ресурсы (минеральные воды и рассолы, лечебные грязи) представлены единичным месторождением сапропеля на территории г. Новоржева (озера Орша и Росцо).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Побережье многочисленных озер и рек на территории муниципального района традиционно используются для отдыха местным населением и гостями района. Наиболее крупными озерами являются Посадниковское, Орша, Вехно и Чернозерье. Наиболее крупные реки -Сороть и Льста.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Сведений о благоустроенных пляжах и местах кратковременного отдыха у воды нет. Прибрежные полосы озер, а также других водных объектов Новоржевского района, вовлеченные в рекреационный оборот, испытывают негативное антропогенное воздействие со стороны неорганизованных туристов и рекреантов. В связи с этим требуется охрана и проведение в местах сложившихся туристских стоянок специальных мероприятий по обустройству мест отдыха (площадок отдыха, кемпингов).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Степень благоприятности для рекреации определяется совокупностью эстетических качеств ландшафтов, степенью их устойчивости к рекреационным нагрузкам и в дальнейшем должна учитывать уровень развития тех элементов инфраструктуры, от которых зависит доступность ландшафтов для освоения (прежде всего транспортная инфраструктура).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u w:val="single"/>
        </w:rPr>
        <w:t>Наиболее благоприятные для рекреационной деятельности ландшафты</w:t>
      </w:r>
      <w:r w:rsidRPr="00C2067C">
        <w:rPr>
          <w:rFonts w:ascii="Times New Roman" w:hAnsi="Times New Roman" w:cs="Times New Roman"/>
          <w:sz w:val="24"/>
          <w:szCs w:val="24"/>
        </w:rPr>
        <w:t xml:space="preserve"> соответствуют категориям наибольшей и высокой эстетической ценности с хорошей транспортной доступностью, за исключением сельскохозяйственных земель, которые для рекреации практически не используются (исключение составляет лишь так называемый агротуризм). Рекреационная ценность этих территорий высока, развитие рекреации предполагает обустройство экологических троп, регламентированных стоянок и создания ООПТ, сочетающих рекреационную и природоохранную функции.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u w:val="single"/>
        </w:rPr>
        <w:t>Благоприятные и относительно благоприятные ландшафты</w:t>
      </w:r>
      <w:r w:rsidRPr="00C2067C">
        <w:rPr>
          <w:rFonts w:ascii="Times New Roman" w:hAnsi="Times New Roman" w:cs="Times New Roman"/>
          <w:sz w:val="24"/>
          <w:szCs w:val="24"/>
        </w:rPr>
        <w:t xml:space="preserve"> соответствуют категории средней эстетической ценности с хорошей транспортной освоенностью. К ним относятся остальные лесные угодья на территории района.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Незначительные территории района характеризуется как неблагоприятные для рекреационной деятельности, за исключением ограниченного круга промысловых видов (охота, сбор дикоросов), в основном это болота и торфяники.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К малоблагоприятным территориям для рекреационного освоения отнесены лишь сельскохозяйственные угодья.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Согласно Схеме территориального планирования Псковской области на территории Новоржевского района встречаются все типы ландшафтов в следующем соотношении: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относительно благоприятные для отдыха и экологического туризма занимаю порядка 50%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благоприятные для отдыха и экологического туризма занимаю порядка 40%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наиболее благоприятные для отдыха и экологического туризма занимаю порядка 9% территории;</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ландшафты</w:t>
      </w:r>
      <w:r w:rsidRPr="00C2067C">
        <w:rPr>
          <w:rFonts w:ascii="Times New Roman" w:hAnsi="Times New Roman" w:cs="Times New Roman"/>
          <w:iCs/>
          <w:sz w:val="24"/>
          <w:szCs w:val="24"/>
        </w:rPr>
        <w:t xml:space="preserve"> неблагоприятные для отдыха и экологического туризма занимаю порядка 1% территории.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размещения зон отдыха проектом рассматриваются ландшафты наиболее благоприятные и благоприятные, в частности, прилегающие к озерам Вехно, Посадниковское, Батковское, Милье, Ясеньское, Любавец, Алешинское, Залазье, Михалкинское, Черное и Чернозерье.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Территории по берегам озер включены в перспективную комплексную туристско-рекреационную территорию.</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Новоржевский район располагает значительными промысловыми ресурсами, однако в этом отношении он уступает многим другим районам области. В районе существуют места, пригодные для рыбной ловли на многочисленных озерах и малых реках. Промысловыми видами являются судак, щука, окунь, плотва, красноперка, лещ, череха, налим, густера, карась, ерш, линь, язь, голавль, вьюн, уклея, раки.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Почти повсеместно представлены места, пригодные для сбора дикорастущих ягод и грибов.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 xml:space="preserve">На территории района расположен </w:t>
      </w:r>
      <w:r w:rsidRPr="00C2067C">
        <w:rPr>
          <w:rFonts w:ascii="Times New Roman" w:hAnsi="Times New Roman" w:cs="Times New Roman"/>
          <w:sz w:val="24"/>
          <w:szCs w:val="24"/>
        </w:rPr>
        <w:t>Государственный природный зоологический заказник регионального значения «Новоржевский», а также природные комплексы местного значения «Озеро Рахново» и «Погост Лобно».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Рекреационная оценка ландшафтов Новоржевского района показала, что практически 50% территории пригодна для рекреационного использования (благоприятные и наиболее благоприятные ландшафтно-рекреационные условия), с учетом транспортной доступности – 15-20 % территории. Для размещения рекреационных объектов и прокладки маршрутов оздоровительного и экологического туризма наиболее ценными участками признаны берега озер и долины рек, что обусловлено их промысловой и эстетической ценностью. С учетом дополнительных благоприятных факторов для развития туристско-рекреационных объектов, а также сложившегося туристско-рекреационного каркаса выделена особо ценная территория, в дальнейшем рассматриваемая в качестве проектируемой туристско-рекреационной зоны.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Для строительства объектов массового отдыха предлагается использовать менее ценные, но устойчивые к рекреационным нагрузкам территории. Наиболее ценные, но уязвимые использовать в качестве лесопарков и мест ограниченной рекреации (в т.ч. ООПТ). Необходимо отметить, что при соответствующем благоустройстве (включающем размещение площадок отдыха, развитие дорожно-тропиночной сети и т.п.) и лесопарковом строительстве рекреационная устойчивость ландшафтов значительно повышается.</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4" w:name="_Toc216434261"/>
      <w:r w:rsidRPr="00C2067C">
        <w:rPr>
          <w:rFonts w:ascii="Times New Roman" w:hAnsi="Times New Roman" w:cs="Times New Roman"/>
          <w:b/>
          <w:bCs/>
          <w:sz w:val="24"/>
          <w:szCs w:val="24"/>
        </w:rPr>
        <w:t>3.9.2. Потенциал развития культурно-познавательного туризма</w:t>
      </w:r>
      <w:bookmarkEnd w:id="84"/>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Культурно-исторический потенциал Новоржевского района представляет собой совокупность памятников истории и культуры, сохранившихся историко-культурных элементов ценного сельского ландшафта, дополняемых народными художественными и утилитарными промыслами и ремеслами, а также нематериальным наследием территории (традиции, обряды, праздники). Данный потенциал в районе весьма значителен и представляет большой интерес для развития культурно-познавательного и этнографического туризма.</w:t>
      </w:r>
    </w:p>
    <w:p w:rsidR="00C2067C" w:rsidRPr="00C2067C" w:rsidRDefault="00C2067C" w:rsidP="00C2067C">
      <w:pPr>
        <w:spacing w:after="0" w:line="240" w:lineRule="auto"/>
        <w:jc w:val="both"/>
        <w:rPr>
          <w:rFonts w:ascii="Times New Roman" w:hAnsi="Times New Roman" w:cs="Times New Roman"/>
          <w:b/>
          <w:sz w:val="24"/>
          <w:szCs w:val="24"/>
        </w:rPr>
      </w:pPr>
      <w:r w:rsidRPr="00C2067C">
        <w:rPr>
          <w:rFonts w:ascii="Times New Roman" w:hAnsi="Times New Roman" w:cs="Times New Roman"/>
          <w:sz w:val="24"/>
          <w:szCs w:val="24"/>
        </w:rPr>
        <w:t xml:space="preserve">Новоржевский район обладает интересным и разнообразным культурно-историческим наследием – археологическим, архитектурным, этнографическим. Рекреационно-познавательные ресурсы представлены историческими селами с комплексами памятников церковной и гражданской архитектуры, где сохраняется традиционный уклад жизни, поддерживаются промыслы и ремесла, а также усадебными комплексами с фрагментами сохранившихся парков, музеями и центрами культуры.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Историко-культурный каркас района представлен поселениями, обладающими особо ценным историко-культурным потенциалом, малыми историческими системами расселения, связанными между собой историческими дорогами и древними путями сообщения, множеством разнообразных памятников истории и культуры, в т.ч. целостных живописных архитектурно-ландшафтных комплексов (усадебно-парковые ансамбли). Историко-культурное наследие является важным рекреационным ресурсом территории.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Административный центр муниципального района – г. Новоржев относится к числу исторических городов Псковской области.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ряде сел и деревень района сохранены традиционная сельская среда проживания, народные промыслы и ремесла (плетение из лозы, лыка, береста, резьба и роспись по дереву, глиняная игрушка и пласитка, вышивка, кружевоплетение, лоскутное шитье), нематериальное наследие. Особенно стоит выделить старинные сельские поселения, а также местности, сложившиеся вокруг них (дд. Алтун, Бараново, Барута, Вехно, Выбор, Гривно (Гривино), Крутцы, Ладино, Петровское, Посадниково, Слобода, Стехново, Столбушино, Сторожня). Подробная характеристика дана в разделе «4.6. Культурное наследие».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Новоржевского района отсутствуют населенные пункты, включенные в перечень исторических поселений федерального значения. Вместе с тем, на основании постановления Администрации Псковской области от 02.06.2014 № 239 «Об утверждении перечня исторических поселений регионального значения, имеющих особое значение для истории и культуры Псковской области» г. Новоржев, является историческим поселением регионального значения.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Кроме того, на территории Новоржевского района расположены поселения, обладающие ценным наследием, сохранившие планировочную структуру и представляющие собой традиционную среду проживания, могут рассматриваться для последующего включения в перечень исторических поселений федерального/регионального значения. Памятники истории и искусства – это, прежде всего, мемориальные места, связанные с пребыванием здесь выдающихся людей – А.С. Пушкина, Б.С. Трояновского, Я.Б. Княжнина, и др., с важнейшими событиями в истории Отечества, а также многочисленные памятники монументального искусства.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На территории района действует Новоржевский историко-краеведческий музей, расположенный в г. Новоржеве.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Основные места, связанные с Великой Отечественной войной это военные мемориалы в сельской местности (братские и одиночные могилы советских воинов, партизан и жертв из числа мирных жителей).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Новоржеве проходят музыкальные фестивали имени Бориса Трояновского и Ольги Сергеевой, которые организует, совместно с филармонией, областной Центр народного творчества. ОЦНТ занимается также сохранением, и изучением, и пропагандой других нематериальных форм традиционной культуры: сказительства, этномедицины, этнопедагогики и т.д. В результате научных фольклорных экспедиций издан фундаментальный труд «Традиционная культура Псковской земли», ставший основой в работе многочисленных любительских и профессиональных коллективов, связанных с народным творчеством.</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u w:val="single"/>
        </w:rPr>
        <w:t>Конфессиональный объекты.</w:t>
      </w:r>
      <w:r w:rsidRPr="00C2067C">
        <w:rPr>
          <w:rFonts w:ascii="Times New Roman" w:hAnsi="Times New Roman" w:cs="Times New Roman"/>
          <w:sz w:val="24"/>
          <w:szCs w:val="24"/>
        </w:rPr>
        <w:t xml:space="preserve"> Местные святыни и места паломничества – отдельная группа функционально самостоятельных объектов культурного наследия, имеющих большое значение в сохранении и развитии исторических и духовных традиций страны. Эти места, связаны с духовной деятельностью представителей Православной Церкви и сохраняют в наиболее целостном и совершенном виде исторические и природные ландшафты, памятники истории, культуры и архитектуры.</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Основные объекты для посещения: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Покрова Пресвятой Богородицы, д. Барута, 1762 г. постройки, действующая, памятник архитектуры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 Спаса Преображения, д. Вехно, 1763 г. постройки, действующая, памятник архитектуры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Казанской иконы Божией Матери, д. Посадниково, 1739 г. постройки, не действует, памятник архитектуры федерального значения.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Часовня Казанской иконы Божией Матери, д. Посадниково, 2004 г. постройки,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Церковь Рождества Христова, г. Новоржев, 1999 г. постройки,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Церковь</w:t>
      </w:r>
      <w:r w:rsidRPr="00C2067C">
        <w:rPr>
          <w:rFonts w:ascii="Times New Roman" w:hAnsi="Times New Roman" w:cs="Times New Roman"/>
          <w:iCs/>
          <w:sz w:val="24"/>
          <w:szCs w:val="24"/>
        </w:rPr>
        <w:t xml:space="preserve"> Успения Пресвятой Богородицы, д. Столбушино, 1787 г. постройки, действует, </w:t>
      </w:r>
      <w:r w:rsidRPr="00C2067C">
        <w:rPr>
          <w:rFonts w:ascii="Times New Roman" w:hAnsi="Times New Roman" w:cs="Times New Roman"/>
          <w:sz w:val="24"/>
          <w:szCs w:val="24"/>
        </w:rPr>
        <w:t xml:space="preserve">памятник архитектуры регионального значения.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Часовня Казанской иконы Божией Матери, д. Заход, 1998 г., действует.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Многочисленные следы прошлого в виде остатков древних поселений, городищ и могильников различных исторических эпох широко представлены на территории Новоржевского района в виде памятников археологии – 41 объект состоит на охране. Интересным для посещения объектом являются остатки Городища 1-й половины </w:t>
      </w:r>
      <w:r w:rsidRPr="00C2067C">
        <w:rPr>
          <w:rFonts w:ascii="Times New Roman" w:hAnsi="Times New Roman" w:cs="Times New Roman"/>
          <w:sz w:val="24"/>
          <w:szCs w:val="24"/>
          <w:lang w:val="en-US"/>
        </w:rPr>
        <w:t>II</w:t>
      </w:r>
      <w:r w:rsidRPr="00C2067C">
        <w:rPr>
          <w:rFonts w:ascii="Times New Roman" w:hAnsi="Times New Roman" w:cs="Times New Roman"/>
          <w:sz w:val="24"/>
          <w:szCs w:val="24"/>
        </w:rPr>
        <w:t xml:space="preserve"> тыс. н.э. в д. Выбор.</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Учитывая достаточно благоприятные природные условия, а также значительный историко-культурный потенциал, Новоржевский район располагает всеми условиями для всестороннего развития сферы отдыха и туризма. Приоритетными для развития видами туризма в Новоржевском районе далее будут рассматриваться: культурно-познавательный, религиозно-паломнический, этнографический, событийный, военно-патриотический, сельский и экологический (природно-ориентированный).</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5" w:name="_Toc216434262"/>
      <w:r w:rsidRPr="00C2067C">
        <w:rPr>
          <w:rFonts w:ascii="Times New Roman" w:hAnsi="Times New Roman" w:cs="Times New Roman"/>
          <w:b/>
          <w:bCs/>
          <w:sz w:val="24"/>
          <w:szCs w:val="24"/>
        </w:rPr>
        <w:t>3.9.3. Туристско-рекреационная инфраструктура</w:t>
      </w:r>
      <w:bookmarkEnd w:id="85"/>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Туристско-рекреационная инфраструктура района развита сравнительно хорошо, однако в целом потенциал района раскрыт достаточно слабо, а инфраструктура представлена частными объектами, используемыми для местных нужд. Комплекс соответствующих услуг имеет большие перспективы для развития.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Стоит отметить, что территория района граничит с Пушкиногорским районом, являющимся одним из самых популярных и староосвоенных туристических зон Псковской области. Территория Пушкиногорского района имеет значительную базу средств размещения и отдыха. Во многом в этой связи гостиничный бизнес и строительство крупных средств размещения в Новоржевском районе не получило развития.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По территории Новоржевского района проходит туристический маршрут «Путешествие к псковским хуторам, яблочным садам и к ароматным пряникам».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Протяженность по территории Новоржевского района туристического маршрута «Путешествие к псковским хуторам, яблочным садам и к ароматным пряникам» составляет 5 км. Посещаемые места – усадьба «Имение Алтунъ».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территории Новоржевского района осуществляют свою деятельность следующие коллективные средства размещения: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гостиничный комплекс «Имение Алтунъ» корпус «Барский флигель», адрес: Псковская область, Новоржевский район, с.п. Вехнянская волость, д. Алтун, д. 22, номерной фонд - 11;</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гостиничный комплекс «имение Алтунъ» корпус «Дом над озером», адрес: Псковская область, Новоржевский район, с.п. Вехнянская волость, д. Алтун, д. 23, номерной фонд - 12;</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гостевой дом «Алтун», адрес: Псковская область, Новоржевский район, с.п. Вехнянская волость, д. Алтун, д. 1, номерной фонд - 16 мест.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Рекреация до настоящего времени не выступала в качестве отрасли специализации Новоржевского района. Комплекс рекреационной инфраструктуры обслуживает незначительный поток отдыхающих из столичного региона и Санкт-Петербурга.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Новоржевском районе не располагаются действующие детские оздоровительные лагеря загородного типа, в летний период при школах открываются лагеря с дневным пребыванием детей.</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 районе развивается сфера услуг, торговля, сеть учреждений общественного питания, отрасли связи и т.п. На данный момент в районе насчитывалось 2 предприятия общественного питания, единовременной емкостью 120 чел. Сопутствующие услуги (торговля сувенирами, изделиями народных промыслов) в районе развиты слабо.</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Обеспеченность района гостиничной инфраструктурой при ориентации норматив СП 42.13330.2011, предписывает организацию 6 мест в учреждениях длительного отдыха на тысячу жителей.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сложившейся ситуации перспективным направлением развития гостиничного хозяйства может стать строительство сети небольших комфортабельных гостиниц вдоль автомобильных трасс и в исторических поселениях, а в части развития долговременного отдыха – дачное и коттеджное строительство и открытие новых частных баз и домов отдыха, прочих специализированных учреждений. В настоящее время в Новоржевском районе специализированные придорожные места отдыха – мотели и кемпинги, предназначенные для автомобилистов, не получили развития. </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проекте схемы территориального планирования Новоржевского района предполагается строительство рекреационных объектов. В перспективе здесь могут возникнуть кемпинги, базы отдыха, спортивные и конноспортивные клубы, яхт-клубы, лодочные станции, пансионаты, базы охотников и рыболовов и прочие объекты туристско-рекреационной сферы. Берега озер Вехно, Посадниковское, Батковское, Милье, Ясеньское, Любавец, Алешинское, Залазье, Михалкинское, Черное и Чернозерье необходимо оборудовать пляжами и пирсами для занятий водными видами спорта.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6" w:name="_Toc216434263"/>
      <w:r w:rsidRPr="00C2067C">
        <w:rPr>
          <w:rFonts w:ascii="Times New Roman" w:hAnsi="Times New Roman" w:cs="Times New Roman"/>
          <w:b/>
          <w:bCs/>
          <w:sz w:val="24"/>
          <w:szCs w:val="24"/>
        </w:rPr>
        <w:t>3.9.4. Туристско-рекреационная активность</w:t>
      </w:r>
      <w:bookmarkEnd w:id="86"/>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 xml:space="preserve">Схемой территориального планирования Псковской области, </w:t>
      </w:r>
      <w:r w:rsidRPr="00C2067C">
        <w:rPr>
          <w:rFonts w:ascii="Times New Roman" w:hAnsi="Times New Roman" w:cs="Times New Roman"/>
          <w:sz w:val="24"/>
          <w:szCs w:val="24"/>
        </w:rPr>
        <w:t xml:space="preserve">на основе концепции проекта «Серебряное кольцо» в соответствии с различиями в историко-культурном и ландшафтно-рекреационном потенциалах в пределах Псковской области, а также по различиям среди основных видов туризма, </w:t>
      </w:r>
      <w:r w:rsidRPr="00C2067C">
        <w:rPr>
          <w:rFonts w:ascii="Times New Roman" w:hAnsi="Times New Roman" w:cs="Times New Roman"/>
          <w:iCs/>
          <w:sz w:val="24"/>
          <w:szCs w:val="24"/>
        </w:rPr>
        <w:t>Новоржевский район относен к Пушкиногорско-Великорецкому туристско-рекреационному району.</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Основной туристской специализацией района являются культурно-познавательный и событийный виды туризма, имеют значительный потенциал для развития спортивный и промысловый виды отдыха. Также перспективны для дальнейшего развития многие виды туристской активности (этнографический, военно-патриотический, сельский и экологический туризм и др.) и спортивно-оздоровительной деятельности.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Однако на данный момент большинство туристов посещают Новоржевский район транзитом и не задерживаются больше, чем на сутки. Эти обстоятельства значительно сдерживают развитие сферы туризма и гостеприимства.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современный момент поток туристов можно разделить на две группы, а именно транзитный поток и отдыхающие из Санкт-Петербурга и столичного региона прибывающие в Новоржевский район на летний сезон.</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Основными объектами, обладающими туристкой привлекательность, являются:</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Памятник архитектуры Усадьба</w:t>
      </w:r>
      <w:r w:rsidRPr="00C2067C">
        <w:rPr>
          <w:rFonts w:ascii="Times New Roman" w:hAnsi="Times New Roman" w:cs="Times New Roman"/>
          <w:iCs/>
          <w:sz w:val="24"/>
          <w:szCs w:val="24"/>
        </w:rPr>
        <w:t xml:space="preserve"> Львовых в д. Алтун – является объектом культурного наследия регионального значения.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Новоржевский историко-краеведческий музей, расположенный в г. Новоржев.</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Усадебный дом Баруздина (Бороздина) расположен на территории усадьбы</w:t>
      </w:r>
      <w:r w:rsidRPr="00C2067C">
        <w:rPr>
          <w:rFonts w:ascii="Times New Roman" w:hAnsi="Times New Roman" w:cs="Times New Roman"/>
          <w:sz w:val="24"/>
          <w:szCs w:val="24"/>
        </w:rPr>
        <w:t xml:space="preserve"> в д. Ладино. Дом постройки второй половины XVIII в. окружен усадебным парком - памятником садово-паркового искусства (объект культурного наследия регионального значения). В структуре парка до сих пор сохраняются два фруктовых сада и липовые аллеи. Парк окружает сложная система прудов и каналов, которые в прошлом были соединены с расположенным рядом с усадьбой озером.</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sz w:val="24"/>
          <w:szCs w:val="24"/>
        </w:rPr>
        <w:t>Гора Лобно – одна из наиболее высоких точек Бежаницкой возвышенности и Псковской области. У подножия горы расположено озеро Лобно и озеро Але (Бежаницкий район). На горе расположены развалины церкви Успения Пресвятой Богородицы и открывается живописный вид.</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архитектуры Ансамбль Покровской церкви расположенный в д. Барута,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lastRenderedPageBreak/>
        <w:t xml:space="preserve">Памятник архитектуры Ансамбль Преображенской церкви расположенный в д. Вехно,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Памятник архитектуры Казанская церковь расположена на берегу оз. Посадниковское, у деревни с одноименным названием, церковь является </w:t>
      </w:r>
      <w:r w:rsidRPr="00C2067C">
        <w:rPr>
          <w:rFonts w:ascii="Times New Roman" w:hAnsi="Times New Roman" w:cs="Times New Roman"/>
          <w:iCs/>
          <w:sz w:val="24"/>
          <w:szCs w:val="24"/>
        </w:rPr>
        <w:t>объектом культурного наследия федерального значения</w:t>
      </w:r>
      <w:r w:rsidRPr="00C2067C">
        <w:rPr>
          <w:rFonts w:ascii="Times New Roman" w:hAnsi="Times New Roman" w:cs="Times New Roman"/>
          <w:sz w:val="24"/>
          <w:szCs w:val="24"/>
        </w:rPr>
        <w:t>.</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Часть объектов культурного и природного наследия, представляющая потенциальный интерес для туристов, находится в неудовлетворительном состоянии или неудобны для посещения, что обусловило сравнительно низкий уровень развития туристического потока. В то же время, потенциал развития сферы туризма, организованного отдыха, а также культурно-просветительской деятельности в Новоржевском районе значителен. В связи с этим в последние годы на областном и муниципальном уровнях разрабатываются мероприятия по развитию туризма и рекреации.</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7" w:name="_Toc216434264"/>
      <w:r w:rsidRPr="00C2067C">
        <w:rPr>
          <w:rFonts w:ascii="Times New Roman" w:hAnsi="Times New Roman" w:cs="Times New Roman"/>
          <w:b/>
          <w:bCs/>
          <w:sz w:val="24"/>
          <w:szCs w:val="24"/>
        </w:rPr>
        <w:t>3.9.5. Предложения по развитию туризма и рекреации</w:t>
      </w:r>
      <w:bookmarkEnd w:id="87"/>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Современное распределение туристских и рекреационных зон по территории Псковской области показало широкую вовлеченность типологически различных по природным и историко-культурным особенностям территорий в туристско-рекреационный оборот.</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Анализ имеющегося потенциала позволяет рассчитывать на формирование рекреационно-туристской системы территории, ориентированной как на внутренних потребителей, так и на внешний спрос. Туризм и рекреация могут и должны на перспективу рассматриваться в качестве отрасли специализации Новоржевского района, базы социально-экономического развития сельской местности, основы создания многочисленных рабочих мест, развития малого и среднего предпринимательства и пополнения бюджетов всех уровней. </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8" w:name="_Toc216434265"/>
      <w:r w:rsidRPr="00C2067C">
        <w:rPr>
          <w:rFonts w:ascii="Times New Roman" w:hAnsi="Times New Roman" w:cs="Times New Roman"/>
          <w:b/>
          <w:bCs/>
          <w:sz w:val="24"/>
          <w:szCs w:val="24"/>
        </w:rPr>
        <w:t>3.9.6. Формирование новых туристских маршрутов</w:t>
      </w:r>
      <w:bookmarkEnd w:id="88"/>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Мировая и, в частности, европейская практика показывает, что наиболее привлекательными для культурно-познавательного, в т.ч. международного туризма являются культурные и природные объекты, находящиеся вблизи развиваемых межрегиональных или международных туристских маршрутов. Схемой территориального планирования Псковской области были предложены перспективные межрегиональные туристические маршруты (дороги) в качестве вариантов межрегионального и межрайонного сотрудничества в сфере туризма и рекреации.</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Автобусный маршрут «Большая Псковская кругосветка» Псков – Порхов – Волышово – Дедовичи – Бежаницы – Локня – Великие Луки – Полибино – Невель – пустошка – Алоль – Опочка – Новоржев – Пушкинские Горы и музей-заповедник – Врев – Остров – с посещением Велье – Псков.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Велосипедный в природный парк «Бежаницкий» и на озеро Алё: Псков – Остров – Врев – Новоржев – оз. Алё (природный парк)– Бардово (размещение) – Бежаницы – Новоржев – Псков.</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Конный маршрут по Псковской глубинке и усадьбам области: Волышово – Судома – природный парк – Врев – музей-заповедник – ус. Алтун – Новоржев – оз. Алё (природный парк) – обратно в Волышово.</w:t>
      </w:r>
    </w:p>
    <w:p w:rsidR="00C2067C" w:rsidRPr="00C2067C" w:rsidRDefault="00C2067C" w:rsidP="00C2067C">
      <w:pPr>
        <w:spacing w:after="0" w:line="240" w:lineRule="auto"/>
        <w:jc w:val="both"/>
        <w:rPr>
          <w:rFonts w:ascii="Times New Roman" w:hAnsi="Times New Roman" w:cs="Times New Roman"/>
          <w:sz w:val="24"/>
          <w:szCs w:val="24"/>
        </w:rPr>
      </w:pPr>
    </w:p>
    <w:p w:rsidR="00C2067C" w:rsidRPr="00C2067C" w:rsidRDefault="00C2067C" w:rsidP="00C2067C">
      <w:pPr>
        <w:spacing w:after="0" w:line="240" w:lineRule="auto"/>
        <w:jc w:val="center"/>
        <w:rPr>
          <w:rFonts w:ascii="Times New Roman" w:hAnsi="Times New Roman" w:cs="Times New Roman"/>
          <w:b/>
          <w:bCs/>
          <w:sz w:val="24"/>
          <w:szCs w:val="24"/>
        </w:rPr>
      </w:pPr>
      <w:bookmarkStart w:id="89" w:name="_Toc216434266"/>
      <w:r w:rsidRPr="00C2067C">
        <w:rPr>
          <w:rFonts w:ascii="Times New Roman" w:hAnsi="Times New Roman" w:cs="Times New Roman"/>
          <w:b/>
          <w:bCs/>
          <w:sz w:val="24"/>
          <w:szCs w:val="24"/>
        </w:rPr>
        <w:t>3.9.7. Туристские центры и рекреационные зоны</w:t>
      </w:r>
      <w:bookmarkEnd w:id="89"/>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В соответствии с имеющимися туристско-рекреационными ресурсами и возможностью их перспективного использования могут быть предложены к развитию новые зоны и центры туристско-рекреационной активности. Приоритетными для развития могут считаться зоны в туристско-рекреационных районах на данный момент малоразвитые, но со значительным потенциалом, где инвестирование в туризм и рекреацию, в создание соответствующей инфраструктуры может внести значительный вклад в социально-экономическое развитие в целом. Ниже представлен перечень предлагаемых Схемой </w:t>
      </w:r>
      <w:r w:rsidRPr="00C2067C">
        <w:rPr>
          <w:rFonts w:ascii="Times New Roman" w:hAnsi="Times New Roman" w:cs="Times New Roman"/>
          <w:sz w:val="24"/>
          <w:szCs w:val="24"/>
        </w:rPr>
        <w:lastRenderedPageBreak/>
        <w:t>территориального планирования Псковской области зон туристской активности Новоржевского района.</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 xml:space="preserve">Рекреационный центр Алтун. Старинна усадьба Львовых в д. Алтун постройки конца </w:t>
      </w:r>
      <w:r w:rsidRPr="00C2067C">
        <w:rPr>
          <w:rFonts w:ascii="Times New Roman" w:hAnsi="Times New Roman" w:cs="Times New Roman"/>
          <w:sz w:val="24"/>
          <w:szCs w:val="24"/>
          <w:lang w:val="en-US"/>
        </w:rPr>
        <w:t>XIX</w:t>
      </w:r>
      <w:r w:rsidRPr="00C2067C">
        <w:rPr>
          <w:rFonts w:ascii="Times New Roman" w:hAnsi="Times New Roman" w:cs="Times New Roman"/>
          <w:sz w:val="24"/>
          <w:szCs w:val="24"/>
        </w:rPr>
        <w:t xml:space="preserve"> в. Парк, окружающий усадьбу, занимает порядка 32 га на южном берегу озера Алтун и включает систему искусственных прудов. От усадьбы до наших дней сохранились лишь хозяйственные строения. В парке сохранились искусственные пруды, вековые деревья местной флоры и экзоты. Усадьба расположена в 15 км от г. Новоржев на границе с Пушкиногорским районом и в непосредственной близости к границам земель государственного мемориального историко-литературного и природно-ландшафтного музея-заповедника А.С. Пушкина «Михайловское». </w:t>
      </w:r>
    </w:p>
    <w:p w:rsidR="00C2067C" w:rsidRPr="00C2067C" w:rsidRDefault="00C2067C" w:rsidP="00C2067C">
      <w:pPr>
        <w:spacing w:after="0" w:line="240" w:lineRule="auto"/>
        <w:jc w:val="both"/>
        <w:rPr>
          <w:rFonts w:ascii="Times New Roman" w:hAnsi="Times New Roman" w:cs="Times New Roman"/>
          <w:iCs/>
          <w:sz w:val="24"/>
          <w:szCs w:val="24"/>
        </w:rPr>
      </w:pPr>
      <w:r w:rsidRPr="00C2067C">
        <w:rPr>
          <w:rFonts w:ascii="Times New Roman" w:hAnsi="Times New Roman" w:cs="Times New Roman"/>
          <w:iCs/>
          <w:sz w:val="24"/>
          <w:szCs w:val="24"/>
        </w:rPr>
        <w:t>На данный момент на территории усадьбы создается гостиничный комплекс «Имение Алтунъ». В 2011 г. произведены работы по реконструкции усадебного парка, также являющегося объектом культурного наследия регионального значения. На современном этапе туристский центр направлен в основном на посетителей музея-заповедника А.С. Пушкина «Михайловское».</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Рекреационная зона «Алё» Расположена в Бежаницком и Новоржевском районах. Расстояние до Пскова – 200 км. В окрестностях располагаются интересные природные объекты – особо охраняемая природная территория местного значения – озеро Алё (Бежаницкий район) с многочисленными плесами и островами, а также некоторое количество историко-культурных объектов, которые могут быть дополнительно использованы в целях познавательного отдыха, промысловой рекреации и экологического туризма. Существует возможность организации туристской деревни, гостевых домов, конноспортивной базы, баз отдыха (в т.ч. для рыбной ловли), баз активного отдыха на воде, детского оздоровительного лагеря.</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На расчетный срок также ожидается увеличение вакантных мест в сфере отдыха и туризма и во вспомогательных сферах, что будет обусловлено постепенным ростом качества услуг в отрасли и, соответственно, ростом спроса на них. Учитывая сложную современную экономическую ситуацию в течение расчетного срока реально лишь частичное освоение рассматриваемых территорий, однако их необходимо зарезервировать для возможного дальнейшего использования в рекреационных целях.</w:t>
      </w:r>
    </w:p>
    <w:p w:rsidR="00C2067C" w:rsidRPr="00C2067C" w:rsidRDefault="00C2067C" w:rsidP="00C2067C">
      <w:pPr>
        <w:spacing w:after="0" w:line="240" w:lineRule="auto"/>
        <w:jc w:val="both"/>
        <w:rPr>
          <w:rFonts w:ascii="Times New Roman" w:hAnsi="Times New Roman" w:cs="Times New Roman"/>
          <w:sz w:val="24"/>
          <w:szCs w:val="24"/>
        </w:rPr>
      </w:pPr>
      <w:r w:rsidRPr="00C2067C">
        <w:rPr>
          <w:rFonts w:ascii="Times New Roman" w:hAnsi="Times New Roman" w:cs="Times New Roman"/>
          <w:sz w:val="24"/>
          <w:szCs w:val="24"/>
        </w:rPr>
        <w:t>Анализ имеющегося потенциала позволяет рассчитывать на формирование рекреационно-туристской системы территории, ориентированной как на внутренних потребителей, так и особенно на внешний спрос. Туризм и рекреация могут и должны на перспективу рассматриваться в качестве отрасли специализации Новоржевского района, базы социально-экономического развития сельской местности, основы создания многочисленных рабочих мест, развития малого и среднего предпринимательства и пополнения бюджетов всех уровней.</w:t>
      </w:r>
    </w:p>
    <w:p w:rsidR="00C2067C" w:rsidRDefault="00C2067C" w:rsidP="005D2FF0">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90" w:name="_Toc167275019"/>
      <w:bookmarkStart w:id="91" w:name="_Toc216772328"/>
      <w:bookmarkStart w:id="92" w:name="_Toc216434267"/>
      <w:r w:rsidRPr="00F022FE">
        <w:rPr>
          <w:rFonts w:ascii="Times New Roman" w:hAnsi="Times New Roman" w:cs="Times New Roman"/>
          <w:b/>
          <w:bCs/>
          <w:i/>
          <w:sz w:val="24"/>
          <w:szCs w:val="24"/>
        </w:rPr>
        <w:t xml:space="preserve">3.10. </w:t>
      </w:r>
      <w:bookmarkEnd w:id="90"/>
      <w:r w:rsidRPr="00F022FE">
        <w:rPr>
          <w:rFonts w:ascii="Times New Roman" w:hAnsi="Times New Roman" w:cs="Times New Roman"/>
          <w:b/>
          <w:bCs/>
          <w:i/>
          <w:sz w:val="24"/>
          <w:szCs w:val="24"/>
        </w:rPr>
        <w:t>Транспортная инфраструктура</w:t>
      </w:r>
      <w:bookmarkEnd w:id="91"/>
      <w:bookmarkEnd w:id="92"/>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Транспортное обслуживание района осуществляется только автомобильным транспортом.</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3" w:name="_Toc216434268"/>
      <w:r w:rsidRPr="00F022FE">
        <w:rPr>
          <w:rFonts w:ascii="Times New Roman" w:hAnsi="Times New Roman" w:cs="Times New Roman"/>
          <w:b/>
          <w:bCs/>
          <w:sz w:val="24"/>
          <w:szCs w:val="24"/>
        </w:rPr>
        <w:t>3.10.1. Автомобильные дороги</w:t>
      </w:r>
      <w:bookmarkEnd w:id="93"/>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Автомобильные пути сообщения и, соответственно, автомобильный транспорт играют главенствующую роль в реализации пассажирских и грузовых перевозок.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Развитая сеть транспортной инфраструктуры представлена дорогами регионального или межмуниципального и местного значения.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Транспортный каркас района образуют следующие автодороги регионального или межмуниципального значения: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58К-019 Пушкинские Горы - Локня (III технической категории с асфальтобетонным покрытием. Интенсивность – более 2000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58 ОП РЗ 58К-232 Остров – Новоржев (III технической категории с асфальтобетонным покрытием. Интенсивность – более 2000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58К-229 Новоржев – Опочка (I</w:t>
      </w:r>
      <w:r w:rsidRPr="00F022FE">
        <w:rPr>
          <w:rFonts w:ascii="Times New Roman" w:hAnsi="Times New Roman" w:cs="Times New Roman"/>
          <w:sz w:val="24"/>
          <w:szCs w:val="24"/>
          <w:lang w:val="en-US"/>
        </w:rPr>
        <w:t>II</w:t>
      </w:r>
      <w:r w:rsidRPr="00F022FE">
        <w:rPr>
          <w:rFonts w:ascii="Times New Roman" w:hAnsi="Times New Roman" w:cs="Times New Roman"/>
          <w:sz w:val="24"/>
          <w:szCs w:val="24"/>
        </w:rPr>
        <w:t xml:space="preserve"> технической категории с песчано-гравийным покрытием. Интенсивность – 500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58 ОП РЗ 58К-014 Новоржев – Кудеверь (IV технической категории с песчано-гравийным покрытием. Интенсивность – 500 авт./сут.);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образования расположено 317,060 км региональных дорог с твердым покрытием. К твердому покрытию автомобильных дорог относится усовершенствованное покрытие (цементобетонное, асфальтобетонное, из щебня и гравия, обработанных вяжущими материалами) и покрытие переходного типа (из щебня и гравия (шлака), не обработанных вяжущими материалами, каменные мостовые; из грунтов и местных малопрочных материалов, обработанных вяжущими материалами)).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района расположено 30 мостов протяженностью более 10 метров.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города Новоржев работают 2 АЗС: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АЗС ООО «Псковнефтепродукт» филиал «Великолукская нефтебаза».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АЗС ИП Борзова З.Ю.</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48 - Перечень автомобильных дорог общего пользования регионального значения Псковской области в границах Новоржевского района</w:t>
      </w:r>
    </w:p>
    <w:tbl>
      <w:tblPr>
        <w:tblW w:w="5000" w:type="pct"/>
        <w:jc w:val="center"/>
        <w:tblLook w:val="04A0" w:firstRow="1" w:lastRow="0" w:firstColumn="1" w:lastColumn="0" w:noHBand="0" w:noVBand="1"/>
      </w:tblPr>
      <w:tblGrid>
        <w:gridCol w:w="2298"/>
        <w:gridCol w:w="1698"/>
        <w:gridCol w:w="944"/>
        <w:gridCol w:w="862"/>
        <w:gridCol w:w="2041"/>
        <w:gridCol w:w="1586"/>
      </w:tblGrid>
      <w:tr w:rsidR="00F022FE" w:rsidRPr="00F022FE" w:rsidTr="00F022FE">
        <w:trPr>
          <w:trHeight w:val="23"/>
          <w:tblHeader/>
          <w:jc w:val="center"/>
        </w:trPr>
        <w:tc>
          <w:tcPr>
            <w:tcW w:w="1216"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Идентификационный номер</w:t>
            </w:r>
          </w:p>
        </w:tc>
        <w:tc>
          <w:tcPr>
            <w:tcW w:w="900"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Наименование автомобильной дороги</w:t>
            </w:r>
          </w:p>
        </w:tc>
        <w:tc>
          <w:tcPr>
            <w:tcW w:w="962" w:type="pct"/>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Адрес</w:t>
            </w:r>
          </w:p>
        </w:tc>
        <w:tc>
          <w:tcPr>
            <w:tcW w:w="1081"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Протяженность,км</w:t>
            </w:r>
          </w:p>
        </w:tc>
        <w:tc>
          <w:tcPr>
            <w:tcW w:w="841" w:type="pct"/>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Место расположения</w:t>
            </w:r>
          </w:p>
        </w:tc>
      </w:tr>
      <w:tr w:rsidR="00F022FE" w:rsidRPr="00F022FE" w:rsidTr="00F022FE">
        <w:trPr>
          <w:trHeight w:val="23"/>
          <w:tblHeader/>
          <w:jc w:val="center"/>
        </w:trPr>
        <w:tc>
          <w:tcPr>
            <w:tcW w:w="1216"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900"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начало, км+…</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конец, км+…</w:t>
            </w:r>
          </w:p>
        </w:tc>
        <w:tc>
          <w:tcPr>
            <w:tcW w:w="1081"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841" w:type="pct"/>
            <w:vMerge/>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58К-014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Новоржев-Кудеверь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26+600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26,600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58К-019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Пушкинские Горы- Локня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8,765</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44+427</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35,662</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58К-119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Сорокино-Выбор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14+000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41+700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Алтун-Батково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Бараново-Иваньково-Петровское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6+400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6,400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58К-219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Барута- Михалкино</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58К-220</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Большая Слобода- Волчицкое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58К-221</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Жекупино-Кузьмино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3+600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3,600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58К-222</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Заход-Лобаново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58К-223</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Карузы-Любавец-Кудрово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Клескалово-Веска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10+900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10,900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58К-225</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Коньково-Барута-</w:t>
            </w:r>
            <w:r w:rsidRPr="00F022FE">
              <w:rPr>
                <w:rFonts w:ascii="Times New Roman" w:hAnsi="Times New Roman" w:cs="Times New Roman"/>
                <w:sz w:val="24"/>
                <w:szCs w:val="24"/>
                <w:lang w:val="en-US"/>
              </w:rPr>
              <w:lastRenderedPageBreak/>
              <w:t>Селецкое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17+100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17,100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 ОП РЗ 58К-226</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Коростовец- Барута</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Коростовец-Михалкино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7+900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7,900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 - а/д Жекупино- Кузьмино км 1+700</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58К-229</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 Опочка</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27+200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27,200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58К-230</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Овчино-Дубровы-Литово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58К-231</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Орша-Плясани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58К-232</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Остров-Новоржев</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48+290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72+788</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24,498</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58К-233</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 xml:space="preserve">от а/д Пушкинские Горы- Локня км 41+496 до дер. </w:t>
            </w:r>
            <w:r w:rsidRPr="00F022FE">
              <w:rPr>
                <w:rFonts w:ascii="Times New Roman" w:hAnsi="Times New Roman" w:cs="Times New Roman"/>
                <w:sz w:val="24"/>
                <w:szCs w:val="24"/>
                <w:lang w:val="en-US"/>
              </w:rPr>
              <w:t xml:space="preserve">Вехно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58К-234</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Рахнихино-Разбегаево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9+400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9,400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58К-235</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Соболицы-Адорье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33+000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33,000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58К-236</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 xml:space="preserve">Стрелкино-Крюково-Партизанская Гора </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15+800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15,800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58К-237</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Сухлово-Заборье</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5+100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5,100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r w:rsidR="00F022FE" w:rsidRPr="00F022FE" w:rsidTr="00F022FE">
        <w:trPr>
          <w:trHeight w:val="23"/>
          <w:jc w:val="center"/>
        </w:trPr>
        <w:tc>
          <w:tcPr>
            <w:tcW w:w="1216"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 ОП РЗ 58К-238</w:t>
            </w:r>
          </w:p>
        </w:tc>
        <w:tc>
          <w:tcPr>
            <w:tcW w:w="900"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Ямище-Большая Слобода-Тростницы</w:t>
            </w:r>
          </w:p>
        </w:tc>
        <w:tc>
          <w:tcPr>
            <w:tcW w:w="502"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0+000</w:t>
            </w:r>
          </w:p>
        </w:tc>
        <w:tc>
          <w:tcPr>
            <w:tcW w:w="459"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5+300</w:t>
            </w:r>
          </w:p>
        </w:tc>
        <w:tc>
          <w:tcPr>
            <w:tcW w:w="108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5,300</w:t>
            </w:r>
          </w:p>
        </w:tc>
        <w:tc>
          <w:tcPr>
            <w:tcW w:w="841" w:type="pct"/>
            <w:tcBorders>
              <w:top w:val="single" w:sz="2" w:space="0" w:color="000000"/>
              <w:left w:val="single" w:sz="2" w:space="0" w:color="000000"/>
              <w:bottom w:val="single" w:sz="2" w:space="0" w:color="000000"/>
              <w:right w:val="single" w:sz="2"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Новоржевский р-н</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Помимо этих автодорог в районе имеются дороги местного значения, обеспечивающие подъезд к населенным пунктам внутри района. </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49 - Автомобильные дороги общего пользования местного 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434"/>
        <w:gridCol w:w="951"/>
        <w:gridCol w:w="1959"/>
        <w:gridCol w:w="1550"/>
        <w:gridCol w:w="817"/>
        <w:gridCol w:w="714"/>
        <w:gridCol w:w="1523"/>
      </w:tblGrid>
      <w:tr w:rsidR="00F022FE" w:rsidRPr="00F022FE" w:rsidTr="00F022FE">
        <w:trPr>
          <w:trHeight w:val="23"/>
          <w:tblHeader/>
          <w:jc w:val="center"/>
        </w:trPr>
        <w:tc>
          <w:tcPr>
            <w:tcW w:w="247"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tc>
        <w:tc>
          <w:tcPr>
            <w:tcW w:w="1015"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Значение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(фед., рег., муницип.)</w:t>
            </w:r>
          </w:p>
        </w:tc>
        <w:tc>
          <w:tcPr>
            <w:tcW w:w="47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Учетный номер</w:t>
            </w:r>
          </w:p>
        </w:tc>
        <w:tc>
          <w:tcPr>
            <w:tcW w:w="966"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Идентификационный номер</w:t>
            </w:r>
          </w:p>
        </w:tc>
        <w:tc>
          <w:tcPr>
            <w:tcW w:w="768"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автомобильных дорог</w:t>
            </w:r>
          </w:p>
        </w:tc>
        <w:tc>
          <w:tcPr>
            <w:tcW w:w="773"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Адрес</w:t>
            </w:r>
          </w:p>
        </w:tc>
        <w:tc>
          <w:tcPr>
            <w:tcW w:w="754"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Протяженность, км</w:t>
            </w:r>
          </w:p>
        </w:tc>
      </w:tr>
      <w:tr w:rsidR="00F022FE" w:rsidRPr="00F022FE" w:rsidTr="00F022FE">
        <w:trPr>
          <w:trHeight w:val="23"/>
          <w:tblHeader/>
          <w:jc w:val="center"/>
        </w:trPr>
        <w:tc>
          <w:tcPr>
            <w:tcW w:w="247"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015"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477"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966"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768"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41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Начало</w:t>
            </w:r>
          </w:p>
        </w:tc>
        <w:tc>
          <w:tcPr>
            <w:tcW w:w="36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Конец</w:t>
            </w:r>
          </w:p>
        </w:tc>
        <w:tc>
          <w:tcPr>
            <w:tcW w:w="754"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Барута- Андрейково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Барута - Заборье - до а/д Коростовец - Барута км 0+950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Горка - Косьяново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Климово - Мыльнево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Лобаново - Симоново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Заход - Лобаново км 4+600 -до д. Косьяново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Коньково - Барута Селецкое км 16+200- до д. Тайлово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Подлужье - Ханево - до         а/д Коньково - Барута-Селецкое км 4+310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Коньково-Селецкое км 6+000 до Ханёво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Гускино-Макарихино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Степанькино-Юдино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Селецкое-Судеревье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Горькухино - Коротыли - Жуково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Дубровы - Васюгино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w:t>
            </w:r>
            <w:r w:rsidRPr="00F022FE">
              <w:rPr>
                <w:rFonts w:ascii="Times New Roman" w:hAnsi="Times New Roman" w:cs="Times New Roman"/>
                <w:bCs/>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- 46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046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Жадрицы -</w:t>
            </w:r>
            <w:r w:rsidRPr="00F022FE">
              <w:rPr>
                <w:rFonts w:ascii="Times New Roman" w:hAnsi="Times New Roman" w:cs="Times New Roman"/>
                <w:bCs/>
                <w:sz w:val="24"/>
                <w:szCs w:val="24"/>
              </w:rPr>
              <w:lastRenderedPageBreak/>
              <w:t>Рудняха-Никитино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2+30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Ладино - Антипово - Брянцево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Ладино - Долосец</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Овчино - Дубровы - Литово - д. Семилово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15+200 - Агафоново - Поташево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16+900 - до д.Столбушино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Н-52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16+900 до д. Столбушино км 7+500" -до д. Извоз</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24+200 -до д. Михалино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Опочка км 16+900 - Хортово - до д. Жары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Фомино - Щербово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Жадрицы - Ровное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Овчино-</w:t>
            </w:r>
            <w:r w:rsidRPr="00F022FE">
              <w:rPr>
                <w:rFonts w:ascii="Times New Roman" w:hAnsi="Times New Roman" w:cs="Times New Roman"/>
                <w:bCs/>
                <w:sz w:val="24"/>
                <w:szCs w:val="24"/>
              </w:rPr>
              <w:lastRenderedPageBreak/>
              <w:t>Дубровы-Литово км3+500-до д. Ласино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27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21+000 до д. Бибирево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Дубровы-Сенная-Коковичино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Бородино - Гришино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Власково - Наумково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- 59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Н-059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Жекупино - Тархово - Мосеево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Макарово - Корнилково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Бараново - Петровское км 1+100 - до д. Мишино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Бараново - Петровское км 2+500 - д.Тарутино -  до а/д Сухлово - Заборье км 1+300</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Кудеверь км 0+630 - до д. Васюгино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 - Кудеверь км 10+800 -  до д. Федоново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Петровское - Шаурино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38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Самсониха - Мелехово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Новоржев-Опочка км 2+790 - до д.Бородино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2+450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2,45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 22+400 до д. Власково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км2+230 до д. Дятлово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Новоржев-Кудеверь км4+350 до д. Манушкино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"Извоз - Аврапово (до границы с Пушкиногорским муниципальным районом)"</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Н-009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Н-009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Гущино - Складнево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Заречье - Голодушино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Заречье - Старый Двор - Красное Кузино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Звездово - Дупли - Сипово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Кудяево - Ясень</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Клескалово - </w:t>
            </w:r>
            <w:r w:rsidRPr="00F022FE">
              <w:rPr>
                <w:rFonts w:ascii="Times New Roman" w:hAnsi="Times New Roman" w:cs="Times New Roman"/>
                <w:bCs/>
                <w:sz w:val="24"/>
                <w:szCs w:val="24"/>
              </w:rPr>
              <w:lastRenderedPageBreak/>
              <w:t>Веска  км 3+200 -  до д. Ступино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50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Клескалово - Веска км 5+540 -  до д. Мотовилово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25+300 - до д. Грибаново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23+800 - до д. Суслово 2</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Карузы - Суслово 1</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Н-019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Н-019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км 28+150 - д. Ольхи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км 27+100 -до д. Кабаны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Соболицы-Адорье км 21+200- Доманьково-Максово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Веска - Гущино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Н-023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Веска - Житница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Вёска-Клескалово-км 1+000» до д. Лентьево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60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Вёска-Гущино-км 4+900» до погост Дубков</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Вёска-Гущино-км 4+000» до д. Дренино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Заречье до д. Варитино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Никулино до д. Кашиха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Рылово до д. Сахино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Выбор-Сорокиво-км 25+000» до д. Мясово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Соболицы-Адорье-км 16+000» до д. Михеево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"а\д Соболицы-Адорье-км 25+000» до д. Сушково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Собролицы-Адорье км 27+000 до д. Тетерино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от д. Кудяево до д. Жигариха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- 118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Н-118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Веска-Лунино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Вишлево - Редкино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72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Воробьево- Мосеево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0+001</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Дорохово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Погорелово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Селюгино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Выбор - Яковлевское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Крюково - Глазово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Копылово - Марьино км 1+500 - до д. Аполье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 - Крюково  - Парт.Горы км 9+000 - до д.Свиномурово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Речево - Шикени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- 43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Н-043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Копылово - Марьино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7,00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Выбор-Погорелово км 0+300 до д.Исаково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Выбор-Селюгино км 1+500 до д.Филково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Рахнихино-Разбегаево км 0+400 до д. Амелино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Сорокино-Выбор км 36+500 до </w:t>
            </w:r>
            <w:r w:rsidRPr="00F022FE">
              <w:rPr>
                <w:rFonts w:ascii="Times New Roman" w:hAnsi="Times New Roman" w:cs="Times New Roman"/>
                <w:bCs/>
                <w:sz w:val="24"/>
                <w:szCs w:val="24"/>
              </w:rPr>
              <w:lastRenderedPageBreak/>
              <w:t>д.-Игнашево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86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Сорокино-Выбор км 36+400 до д.-Кушино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Крюково-Глазово км 0+500 до д. Захново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Стрелкино-Крюково-Партизанская Гора км 15+800 до д. Пожито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Копылово-Марьино км 3+000до д. Щербихино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Шикени-Станки</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9,00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48+000 -до д.Савино-2</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Погорелово-Дмитровка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- 139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Н-139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Выбор-Яковлевское км 4+800 до д. Пестово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Стрелкино-Крюково-Парт.Гора км 5+000 до д.Клин</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Сорокино-Выбор км 35+000 до </w:t>
            </w:r>
            <w:r w:rsidRPr="00F022FE">
              <w:rPr>
                <w:rFonts w:ascii="Times New Roman" w:hAnsi="Times New Roman" w:cs="Times New Roman"/>
                <w:bCs/>
                <w:sz w:val="24"/>
                <w:szCs w:val="24"/>
              </w:rPr>
              <w:lastRenderedPageBreak/>
              <w:t>д.Пяшино»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96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- 142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Н-142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Выбор-Яковлевское км 6+000 до д.Карпилово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Губкино - Маркино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4,6</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63+500 -до д.Плушкино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Остров-Новоржев км 66+950 - до д.Траскино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Залужье - Семенкино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 - Адорье км 8+350 - до д.Усадище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- 90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Речки-Ботвино-Нешино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- 91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Ругодево -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Стехново - Взгляды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Соболицы - Панево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Стехово - Жихарево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Стехново - Песчивицы - Ругодево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8,7</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Соболицы-Адорье км7+300 до д. Бруствино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- 127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Н-127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Усадище-Хахалево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110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"Марьино - урочище Большая Екиманка"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1+520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"Сорокино - Выбор" до д. Городище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 Новоржев" до урочище Орлово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1+820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1,82</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Батково - Вылозово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Батково -Каруза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Дорожкино - Скоморохово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2+650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2,65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Вехно - Осинкино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 Новоржев км 69+700 -до д. Залог</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- 29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Н-029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39+330 - до д. Лябино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41+500 - до д. Седоговец</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- 31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Н-031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км44+480 -  до д. Чистый Бор</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r w:rsidRPr="00F022FE">
              <w:rPr>
                <w:rFonts w:ascii="Times New Roman" w:hAnsi="Times New Roman" w:cs="Times New Roman"/>
                <w:b/>
                <w:bCs/>
                <w:sz w:val="24"/>
                <w:szCs w:val="24"/>
              </w:rPr>
              <w:lastRenderedPageBreak/>
              <w:t>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Муниципал</w:t>
            </w:r>
            <w:r w:rsidRPr="00F022FE">
              <w:rPr>
                <w:rFonts w:ascii="Times New Roman" w:hAnsi="Times New Roman" w:cs="Times New Roman"/>
                <w:bCs/>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- 32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032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 xml:space="preserve">от а/д </w:t>
            </w:r>
            <w:r w:rsidRPr="00F022FE">
              <w:rPr>
                <w:rFonts w:ascii="Times New Roman" w:hAnsi="Times New Roman" w:cs="Times New Roman"/>
                <w:bCs/>
                <w:sz w:val="24"/>
                <w:szCs w:val="24"/>
              </w:rPr>
              <w:lastRenderedPageBreak/>
              <w:t>Пушкинские Горы - Локня км 37+270 - до д. Задолжье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1+00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122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Пуш.Горы-Локня км 43+300 до д.Сухлово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- 099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Н-099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Батково_Каруза км 0+950-до д.Дублиньково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Литово-.Малыгино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"Остров -Новоржев км 70+360" до д Залог " км 1+600 до д.Дыбово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Литово-Седухино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- 103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Н-103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 Батково-Каруза  км 0+950 до д. Дублиньково " км 0+300 до д.Медведово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- 69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Н-069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Березовец - Бездеж</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1,70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Березовец - Доманово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3+750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3,75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130</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Болоково - Залог</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4,05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131</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Волчицкое - Приветок</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132</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Грибово - Клопино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5,60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133</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от а/д Пушкинские Горы - </w:t>
            </w:r>
            <w:r w:rsidRPr="00F022FE">
              <w:rPr>
                <w:rFonts w:ascii="Times New Roman" w:hAnsi="Times New Roman" w:cs="Times New Roman"/>
                <w:bCs/>
                <w:sz w:val="24"/>
                <w:szCs w:val="24"/>
              </w:rPr>
              <w:lastRenderedPageBreak/>
              <w:t>Локня км 67+000 - до д. Большое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6+550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6,55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134</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- 75</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Н-075</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54+800 - до д. Большая Пожня</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135</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- 76</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Н-076</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54+150 - до д. Малая Слобода</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3,40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136</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- 77</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Н-077</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км54+800 до д. Коньково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137</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Пушкинские Горы - Локня км 57+000 -  до д. Теляково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138</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- 79</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Н-079</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 9+500 - до д.Красное Болото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1,00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139</w:t>
            </w:r>
          </w:p>
        </w:tc>
        <w:tc>
          <w:tcPr>
            <w:tcW w:w="1015"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- 80</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Н-080</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км16+000 -до д. Мирослав</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140</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- 81</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Н-081</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Орша - Шастово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141</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- 82</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Н-082</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км 14+200 - до д. Заболотье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0,85</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r w:rsidRPr="00F022FE">
              <w:rPr>
                <w:rFonts w:ascii="Times New Roman" w:hAnsi="Times New Roman" w:cs="Times New Roman"/>
                <w:b/>
                <w:bCs/>
                <w:sz w:val="24"/>
                <w:szCs w:val="24"/>
              </w:rPr>
              <w:lastRenderedPageBreak/>
              <w:t>2</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Муниципал</w:t>
            </w:r>
            <w:r w:rsidRPr="00F022FE">
              <w:rPr>
                <w:rFonts w:ascii="Times New Roman" w:hAnsi="Times New Roman" w:cs="Times New Roman"/>
                <w:sz w:val="24"/>
                <w:szCs w:val="24"/>
              </w:rPr>
              <w:lastRenderedPageBreak/>
              <w:t>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Н - 83</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w:t>
            </w:r>
            <w:r w:rsidRPr="00F022FE">
              <w:rPr>
                <w:rFonts w:ascii="Times New Roman" w:hAnsi="Times New Roman" w:cs="Times New Roman"/>
                <w:bCs/>
                <w:sz w:val="24"/>
                <w:szCs w:val="24"/>
              </w:rPr>
              <w:lastRenderedPageBreak/>
              <w:t>083</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 xml:space="preserve">Булохово - </w:t>
            </w:r>
            <w:r w:rsidRPr="00F022FE">
              <w:rPr>
                <w:rFonts w:ascii="Times New Roman" w:hAnsi="Times New Roman" w:cs="Times New Roman"/>
                <w:bCs/>
                <w:sz w:val="24"/>
                <w:szCs w:val="24"/>
              </w:rPr>
              <w:lastRenderedPageBreak/>
              <w:t>Заход</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0+00</w:t>
            </w:r>
            <w:r w:rsidRPr="00F022FE">
              <w:rPr>
                <w:rFonts w:ascii="Times New Roman" w:hAnsi="Times New Roman" w:cs="Times New Roman"/>
                <w:bCs/>
                <w:sz w:val="24"/>
                <w:szCs w:val="24"/>
              </w:rPr>
              <w:lastRenderedPageBreak/>
              <w:t>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6+10</w:t>
            </w:r>
            <w:r w:rsidRPr="00F022FE">
              <w:rPr>
                <w:rFonts w:ascii="Times New Roman" w:hAnsi="Times New Roman" w:cs="Times New Roman"/>
                <w:bCs/>
                <w:sz w:val="24"/>
                <w:szCs w:val="24"/>
              </w:rPr>
              <w:lastRenderedPageBreak/>
              <w:t>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6,10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143</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- 84</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 МР 58 Н-084</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 - Староселье</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144</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 - 88</w:t>
            </w: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60-223 ОП МР Н-088</w:t>
            </w: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от а/д "Орша - Плясани" до д. Малое Никулино</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4+500</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4,50</w:t>
            </w:r>
          </w:p>
        </w:tc>
      </w:tr>
      <w:tr w:rsidR="00F022FE" w:rsidRPr="00F022FE" w:rsidTr="00F022FE">
        <w:trPr>
          <w:trHeight w:val="23"/>
          <w:jc w:val="center"/>
        </w:trPr>
        <w:tc>
          <w:tcPr>
            <w:tcW w:w="247"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145</w:t>
            </w:r>
          </w:p>
        </w:tc>
        <w:tc>
          <w:tcPr>
            <w:tcW w:w="10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Муниципальная</w:t>
            </w:r>
          </w:p>
        </w:tc>
        <w:tc>
          <w:tcPr>
            <w:tcW w:w="477"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966"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c>
          <w:tcPr>
            <w:tcW w:w="768"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а/д "Новоржевский район Вехнянская волость д. Песчивицы"</w:t>
            </w:r>
          </w:p>
        </w:tc>
        <w:tc>
          <w:tcPr>
            <w:tcW w:w="41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361"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2+505</w:t>
            </w:r>
          </w:p>
        </w:tc>
        <w:tc>
          <w:tcPr>
            <w:tcW w:w="754" w:type="pct"/>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2,51</w:t>
            </w:r>
          </w:p>
        </w:tc>
      </w:tr>
      <w:tr w:rsidR="00F022FE" w:rsidRPr="00F022FE" w:rsidTr="00F022FE">
        <w:trPr>
          <w:trHeight w:val="23"/>
          <w:jc w:val="center"/>
        </w:trPr>
        <w:tc>
          <w:tcPr>
            <w:tcW w:w="247" w:type="pct"/>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3998" w:type="pct"/>
            <w:gridSpan w:val="6"/>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ИТОГО:</w:t>
            </w:r>
          </w:p>
        </w:tc>
        <w:tc>
          <w:tcPr>
            <w:tcW w:w="754" w:type="pct"/>
            <w:tcBorders>
              <w:bottom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420,00</w:t>
            </w:r>
          </w:p>
        </w:tc>
      </w:tr>
    </w:tbl>
    <w:p w:rsidR="00F022FE" w:rsidRDefault="00F022FE" w:rsidP="005D2FF0">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4" w:name="_Toc216434269"/>
      <w:r w:rsidRPr="00F022FE">
        <w:rPr>
          <w:rFonts w:ascii="Times New Roman" w:hAnsi="Times New Roman" w:cs="Times New Roman"/>
          <w:b/>
          <w:bCs/>
          <w:sz w:val="24"/>
          <w:szCs w:val="24"/>
          <w:lang w:val="en-US"/>
        </w:rPr>
        <w:t xml:space="preserve">3.10.2. </w:t>
      </w:r>
      <w:r w:rsidRPr="00F022FE">
        <w:rPr>
          <w:rFonts w:ascii="Times New Roman" w:hAnsi="Times New Roman" w:cs="Times New Roman"/>
          <w:b/>
          <w:bCs/>
          <w:sz w:val="24"/>
          <w:szCs w:val="24"/>
        </w:rPr>
        <w:t>Улично-дорожная сеть</w:t>
      </w:r>
      <w:bookmarkEnd w:id="94"/>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50 - Перечень автомобильных дорог общего пользования местного значения в границах городского поселения г. Новоржев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092"/>
        <w:gridCol w:w="1083"/>
        <w:gridCol w:w="1307"/>
        <w:gridCol w:w="2037"/>
        <w:gridCol w:w="924"/>
        <w:gridCol w:w="804"/>
        <w:gridCol w:w="1757"/>
      </w:tblGrid>
      <w:tr w:rsidR="00F022FE" w:rsidRPr="00F022FE" w:rsidTr="00F022FE">
        <w:trPr>
          <w:trHeight w:val="23"/>
          <w:tblHeader/>
          <w:jc w:val="center"/>
        </w:trPr>
        <w:tc>
          <w:tcPr>
            <w:tcW w:w="402"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w:t>
            </w:r>
          </w:p>
        </w:tc>
        <w:tc>
          <w:tcPr>
            <w:tcW w:w="5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Значение</w:t>
            </w:r>
          </w:p>
        </w:tc>
        <w:tc>
          <w:tcPr>
            <w:tcW w:w="5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Учетный</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номер</w:t>
            </w:r>
          </w:p>
        </w:tc>
        <w:tc>
          <w:tcPr>
            <w:tcW w:w="663"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Идентифи</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кационный</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номер</w:t>
            </w:r>
          </w:p>
        </w:tc>
        <w:tc>
          <w:tcPr>
            <w:tcW w:w="881"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Наименование автомобильных дорог</w:t>
            </w:r>
          </w:p>
        </w:tc>
        <w:tc>
          <w:tcPr>
            <w:tcW w:w="1063"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Адрес</w:t>
            </w:r>
          </w:p>
        </w:tc>
        <w:tc>
          <w:tcPr>
            <w:tcW w:w="797" w:type="pct"/>
            <w:vMerge w:val="restar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Протяженность, км</w:t>
            </w:r>
          </w:p>
        </w:tc>
      </w:tr>
      <w:tr w:rsidR="00F022FE" w:rsidRPr="00F022FE" w:rsidTr="00F022FE">
        <w:trPr>
          <w:trHeight w:val="23"/>
          <w:tblHeader/>
          <w:jc w:val="center"/>
        </w:trPr>
        <w:tc>
          <w:tcPr>
            <w:tcW w:w="402"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663"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881"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Начало</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Конец</w:t>
            </w:r>
          </w:p>
        </w:tc>
        <w:tc>
          <w:tcPr>
            <w:tcW w:w="797" w:type="pct"/>
            <w:vMerge/>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ул.Пушкина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ул.Коммунальная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0+480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0,480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ул.Льва Толстого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0+602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0,602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пер.Рабочий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0+822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0,822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ул.Комсомольская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ул.Павла Дубового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ул.Красноармейская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ул.Юбилейная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0+311</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0,311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ул.Советская пл.</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0+521</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58-219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58-219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ул.Григорьева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ул.Александра Заходского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0+904</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0,904</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ул.Зои Брелауск</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1,200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lastRenderedPageBreak/>
              <w:t>13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пер.Промышленный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0+192</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0,192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ул.Садовая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0+448</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0,448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ул.Мира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0,65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пер.Лесной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0,43</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ул.Заводская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пер.Западный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0,23</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19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ул.Володарского</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58-229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58-229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ул.Псковская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ул.Рабоче-Крестьянская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ул.Победы</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пер.Гражданский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ул.Медицинская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ул.Восточная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0+450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0,45</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пер.Приозерный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0+180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0,18</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27</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58-236</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58-236</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ул.Некрасова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1+510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1,51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28</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58-237</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58-237</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ул.Молодежная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29</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58-238</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58-238</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Ул.Германа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1,1</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30</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58-239</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58-239</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ул.Подгорная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0,70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31</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58-240</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58-240</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ул.Набережная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0+360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0,36</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32</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58-241</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58-241</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пер.Загородный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0,50</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33</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58-242</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58-242</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ул.Южная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1+320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1,32</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34</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58-243</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58-243</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ул.Нагорная</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35</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58-244</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58-244</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пер.Строителей</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0+170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0,17</w:t>
            </w:r>
          </w:p>
        </w:tc>
      </w:tr>
      <w:tr w:rsidR="00F022FE" w:rsidRPr="00F022FE" w:rsidTr="00F022FE">
        <w:trPr>
          <w:trHeight w:val="23"/>
          <w:jc w:val="center"/>
        </w:trPr>
        <w:tc>
          <w:tcPr>
            <w:tcW w:w="40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lastRenderedPageBreak/>
              <w:t>36</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Местного</w:t>
            </w:r>
          </w:p>
        </w:tc>
        <w:tc>
          <w:tcPr>
            <w:tcW w:w="5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58-245</w:t>
            </w:r>
          </w:p>
        </w:tc>
        <w:tc>
          <w:tcPr>
            <w:tcW w:w="663"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58-ОПМГ 58-245</w:t>
            </w:r>
          </w:p>
        </w:tc>
        <w:tc>
          <w:tcPr>
            <w:tcW w:w="881"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ул.Карла Маркса</w:t>
            </w:r>
          </w:p>
        </w:tc>
        <w:tc>
          <w:tcPr>
            <w:tcW w:w="55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0+000</w:t>
            </w:r>
          </w:p>
        </w:tc>
        <w:tc>
          <w:tcPr>
            <w:tcW w:w="514"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1+230</w:t>
            </w:r>
          </w:p>
        </w:tc>
        <w:tc>
          <w:tcPr>
            <w:tcW w:w="7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1,23</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51 - Перечень автомобильных дорог общего пользования местного значения в границах сельских поселений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4279"/>
        <w:gridCol w:w="2563"/>
      </w:tblGrid>
      <w:tr w:rsidR="00F022FE" w:rsidRPr="00F022FE" w:rsidTr="00F022FE">
        <w:trPr>
          <w:trHeight w:val="23"/>
          <w:tblHeader/>
        </w:trPr>
        <w:tc>
          <w:tcPr>
            <w:tcW w:w="129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Идентификационный номер</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Протяженность, км</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Д.Барута,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 5</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Д.Юренцево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Д.Сухарёво, улица1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58-009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Д.Пищино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Д.Тимошкино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Д.Тайлово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Д.Селецкое,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Д.Лопанево,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Д.Стёхово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Д.Симоново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58-018</w:t>
            </w:r>
          </w:p>
        </w:tc>
        <w:tc>
          <w:tcPr>
            <w:tcW w:w="2309"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Д.Климово  улица</w:t>
            </w:r>
          </w:p>
        </w:tc>
        <w:tc>
          <w:tcPr>
            <w:tcW w:w="1400" w:type="pct"/>
            <w:tcBorders>
              <w:top w:val="nil"/>
            </w:tcBorders>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58-019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Д.Мыльнёво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Д.Горка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Д.Лобаново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Д.Мартюшово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Д.Порядино  улица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Д.Косьяново, улица1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Д.Степанькино, ул.1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58-028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Д.Заборье, ул.1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Д.Михалкино,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Д.Ханёво,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Д.Коростовец</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58-039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Д.Михалкино,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58-043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4</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Д.Ханёво, улица 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2</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58-046</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по д.Воронкова Нива</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58-047</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д.Осинкино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58-048</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д.Скоморохово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58-049</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д.Лукино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58-050</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д.Дорожкино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58-051</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д.Лябино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58-052</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д.Батково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58-053</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Новая по д.Литово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58-054</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д.Муровичи</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58-055</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Центральная,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58-056</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Труда,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58-057</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Приозерная,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58-058</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Новая,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58-059</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Селище,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58-060</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Преображенская,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58-061</w:t>
            </w:r>
          </w:p>
        </w:tc>
        <w:tc>
          <w:tcPr>
            <w:tcW w:w="2309"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Ветеранов, д.Вехно</w:t>
            </w:r>
          </w:p>
        </w:tc>
        <w:tc>
          <w:tcPr>
            <w:tcW w:w="1400" w:type="pct"/>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д.Ботвино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д.Бруствино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д.Залужье</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д.Никулино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д.Плушкино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д.Песчивицы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д.Усачево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58-069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д.Крутцы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д.Речки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д.Посадниково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д.Тараскино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д.Взгляды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д.Губкино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ул.Болотная,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д.Стехново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58-079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ул.Верхняя,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ул.Средняя, д.Соболицы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д.Аполье</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д.Бабихино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д.Байкино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д.Басино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д.Дмитровка</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д.Копылово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д.Котово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58-089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д.Марьино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д.Погорелово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58-091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д.Редкино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д.Рогаткино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д.Савино-1</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дСелюгино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д.Филково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д.Ягодино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д.Лужково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д.Кренево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58-099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д.Фатьяново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ул.Мелиораторов,д.Выбор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ул.Зеленая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ул.Луговая,д.Выбор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ул.Лесная,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ул.Школьная,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пл.Новоселов, д.Выбор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ул.Полевая,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58-109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ул.Кленовая,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ул.Гражданский переулок, д.Вишлево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ул.Сиреневая,д.Крюково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Жар</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ул.Северная,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ул.Надречная,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ул.Южная,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ул.Пущина,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58-119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ул.Садовая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ул.Надречная,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ул.Южная,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ул.Пущина, д.Жадрицы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д.Жары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д.Поташово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д.Агафоново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д.Михалино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58-129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д.Долосец</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Извоз</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д.Столбушино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Коротыли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Антипово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Брянцево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Кисляково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Ладино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Полозово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Борки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58-139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ул.Медицинская,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58-140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ул.Молодежная,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ул.Колхозная,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ул.Подгорная,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ул.Нагорная,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58-144</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ул.Депутатская,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58-145</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ул.Запрудная, д. Дубровы</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58-146</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д.Денескино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58-147</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д.Сипово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58-148</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д.Дупли</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58-149</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д.Яконово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58-150</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д.Лунино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58-151</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д.Мотовилово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58-152</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д.Ясень</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58-153</w:t>
            </w:r>
          </w:p>
        </w:tc>
        <w:tc>
          <w:tcPr>
            <w:tcW w:w="2309"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д.Акулово</w:t>
            </w:r>
          </w:p>
        </w:tc>
        <w:tc>
          <w:tcPr>
            <w:tcW w:w="1400" w:type="pct"/>
            <w:shd w:val="clear" w:color="auto" w:fill="auto"/>
            <w:noWrap/>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д.Грибаново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д.Любавец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д.Максово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д.Рылово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д.Старый Двор</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58-159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д.Суслово-1</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д.Ступино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д.Городище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ул.Центральная,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ул.Новая,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ул.Заречная, д.Веска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д.Заречье, №2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Власково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Гнилки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Грихново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58-169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Мелехово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Наумково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Рудново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Молодежная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Карповская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Садовая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Заклубная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д. Подгорная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д. Парковая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Административная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58-179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пер. Березовый д. Макарово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пер. Черемушки  д. Высокое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Заречная д. Высокое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 Коськино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Бездеж</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Большая -Пожня</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д.Большое-Кузино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д.Большое -Никулино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58-189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д.Булохово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58-190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д.Волчицкое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Доманово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д.Заболотье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д.Зенцово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Ивахново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д.Клопино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д.Красное -Болото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д.Курохново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58-199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д.Малое-Никулино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д.Мирослав</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д.Песчанка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д.Песчивицы</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д.Плясани</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д.Приветок</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д.Староселье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Сторожня</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д.Струга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58-209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д.Ямищи</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д.Малыгино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д.Перхово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д.Дыбово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58-249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д.Алтун</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д.Седухино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д.Медведово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№1 д.Заборье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 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№3 д. Заборье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дер.Иваньково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дер.Подлипье</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дер.Манушкино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58-258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дер.Голубево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дер.Дятлово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дер.Гром</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дер.Апросово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Барановская д.  Макарово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дер.Тарутино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дер.Плавно №1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дер.Плавно №2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58-268</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58-269</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дер.Луневка№3</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дер.Самсониха№1</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58-271</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дер.Самсониха№2</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дер.Лаптево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дер.Ханево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дер.Батово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дер.Савино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д.Ольхи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58-277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д.Звездово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д.Дренино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58-279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д.Османово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д.Лентьево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№1 д.Заречье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д.Туровец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д.Глухово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д.Кабаны</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д.Варитино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д.Доманьково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д.Дудкино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д.Кашиха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58-289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д.Михеево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д.Мясово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д.Суслово-2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д.Сушково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д.Сахино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д.Тетерино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д.Гущино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д.Яконово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д.Городище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№2 д.Рылово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58-299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№3 д.Заречье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0,94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58-300</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д.Теляково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Новая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Молодежная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Аэродромная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Приозерная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Мелиораторов д.Орша</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Улица 3</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Д.Коростовец</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58-309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Судеревье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Судеревье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Гриньково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Вешалиха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Юдино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Бышово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Поповка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Жуковичи</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ул.Лесная, д.Стехново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58-318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д.Б.Елисеево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д.Голово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д.Давыдиха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90"/>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д.Жигариха</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д.Закулижье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д.Марково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д.М.Елисеево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58-329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д.Пискуново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58-ОПМП 58-330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д.Подтопкино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д.Тубачево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58-333</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д.Улиткино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д.Усадище</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58-335</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д.Хахалево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д.Трупехино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58-337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д.Кураново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д.Амелино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д.Гришино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0,8</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58-342</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д.Пожито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58-344</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д.Савино-2</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58-346</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Поташово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58-347</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Тишково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58-348</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ул.д. Ласино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58-349</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 Кораблево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58-350</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д.Пришвино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58-351</w:t>
            </w:r>
          </w:p>
        </w:tc>
        <w:tc>
          <w:tcPr>
            <w:tcW w:w="2309"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Опочецкая,  д.  Жадрицы</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58-352</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 Старая по д.Литово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0,75</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58-353</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д.Дублиньково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58-354</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д.Сухлово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0,4</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58-355</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д.Залог</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0,6</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58-356</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по.д.Свистогузово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129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58-ОПМП 58-357</w:t>
            </w:r>
          </w:p>
        </w:tc>
        <w:tc>
          <w:tcPr>
            <w:tcW w:w="2309"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ул. по д.Дорожкино</w:t>
            </w:r>
          </w:p>
        </w:tc>
        <w:tc>
          <w:tcPr>
            <w:tcW w:w="1400"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0,3</w:t>
            </w:r>
          </w:p>
        </w:tc>
      </w:tr>
      <w:tr w:rsidR="00F022FE" w:rsidRPr="00F022FE" w:rsidTr="00F022FE">
        <w:trPr>
          <w:trHeight w:val="23"/>
        </w:trPr>
        <w:tc>
          <w:tcPr>
            <w:tcW w:w="3600" w:type="pct"/>
            <w:gridSpan w:val="2"/>
            <w:shd w:val="clear" w:color="auto" w:fill="auto"/>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b/>
                <w:bCs/>
                <w:sz w:val="24"/>
                <w:szCs w:val="24"/>
              </w:rPr>
              <w:t>Всего</w:t>
            </w:r>
          </w:p>
        </w:tc>
        <w:tc>
          <w:tcPr>
            <w:tcW w:w="1400" w:type="pct"/>
            <w:shd w:val="clear" w:color="auto" w:fill="auto"/>
            <w:vAlign w:val="bottom"/>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171,0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5" w:name="_Toc216434270"/>
      <w:r w:rsidRPr="00F022FE">
        <w:rPr>
          <w:rFonts w:ascii="Times New Roman" w:hAnsi="Times New Roman" w:cs="Times New Roman"/>
          <w:b/>
          <w:bCs/>
          <w:sz w:val="24"/>
          <w:szCs w:val="24"/>
        </w:rPr>
        <w:t>3.10.3. Пассажирский транспорт</w:t>
      </w:r>
      <w:bookmarkEnd w:id="95"/>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51- Сведения о пассажирских маршрутах</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0" w:type="dxa"/>
          <w:right w:w="40" w:type="dxa"/>
        </w:tblCellMar>
        <w:tblLook w:val="04A0" w:firstRow="1" w:lastRow="0" w:firstColumn="1" w:lastColumn="0" w:noHBand="0" w:noVBand="1"/>
      </w:tblPr>
      <w:tblGrid>
        <w:gridCol w:w="1288"/>
        <w:gridCol w:w="1704"/>
        <w:gridCol w:w="1984"/>
        <w:gridCol w:w="1707"/>
        <w:gridCol w:w="1214"/>
        <w:gridCol w:w="1396"/>
      </w:tblGrid>
      <w:tr w:rsidR="00F022FE" w:rsidRPr="00F022FE" w:rsidTr="00F022FE">
        <w:trPr>
          <w:cantSplit/>
          <w:trHeight w:val="23"/>
          <w:tblHeader/>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Название автобусного маршрута</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Протяжённость, км</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Состояние автодороги</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Категория</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(междугороднее,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межобластное,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внутреннее: школьное, специальное сообщение)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Частота рейсов (с указанием единиц измерения)</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Количество пассажиров, перевозимых за 2021 год, ед.</w:t>
            </w: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Новоржев-Псков ч\з Выбор</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135</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междугороднее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ежедневно</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Новоржев-Крюково</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45</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Новоржев-Адорье ч\з Веску</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57</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удовлетворительное</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lastRenderedPageBreak/>
              <w:t xml:space="preserve">Новоржев-Вёска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45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Новоржев-Ладино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21,4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Новоржев-Заречье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46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школьное</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 раза в неделю</w:t>
            </w:r>
            <w:r w:rsidRPr="00F022FE">
              <w:rPr>
                <w:rFonts w:ascii="Times New Roman" w:hAnsi="Times New Roman" w:cs="Times New Roman"/>
                <w:sz w:val="24"/>
                <w:szCs w:val="24"/>
              </w:rPr>
              <w:br/>
              <w:t>кроме каникул, 2</w:t>
            </w:r>
            <w:r w:rsidRPr="00F022FE">
              <w:rPr>
                <w:rFonts w:ascii="Times New Roman" w:hAnsi="Times New Roman" w:cs="Times New Roman"/>
                <w:sz w:val="24"/>
                <w:szCs w:val="24"/>
              </w:rPr>
              <w:br/>
              <w:t>раза в 3 и 4</w:t>
            </w:r>
            <w:r w:rsidRPr="00F022FE">
              <w:rPr>
                <w:rFonts w:ascii="Times New Roman" w:hAnsi="Times New Roman" w:cs="Times New Roman"/>
                <w:sz w:val="24"/>
                <w:szCs w:val="24"/>
              </w:rPr>
              <w:br/>
              <w:t>воскресенье месяца</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Иваньково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32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Новоржев-Березовец</w:t>
            </w:r>
            <w:r w:rsidRPr="00F022FE">
              <w:rPr>
                <w:rFonts w:ascii="Times New Roman" w:hAnsi="Times New Roman" w:cs="Times New Roman"/>
                <w:sz w:val="24"/>
                <w:szCs w:val="24"/>
              </w:rPr>
              <w:t xml:space="preserve"> </w:t>
            </w:r>
            <w:r w:rsidRPr="00F022FE">
              <w:rPr>
                <w:rFonts w:ascii="Times New Roman" w:hAnsi="Times New Roman" w:cs="Times New Roman"/>
                <w:sz w:val="24"/>
                <w:szCs w:val="24"/>
                <w:lang w:val="en-US"/>
              </w:rPr>
              <w:t xml:space="preserve">Волчицкое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23,6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 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Новоржев-Волчицкое»</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8,7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 раз в неделю, в</w:t>
            </w:r>
            <w:r w:rsidRPr="00F022FE">
              <w:rPr>
                <w:rFonts w:ascii="Times New Roman" w:hAnsi="Times New Roman" w:cs="Times New Roman"/>
                <w:sz w:val="24"/>
                <w:szCs w:val="24"/>
              </w:rPr>
              <w:br/>
              <w:t>летние каникулы</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Литово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24,9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 – Плавно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51,8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3-я пятница неделя</w:t>
            </w:r>
            <w:r w:rsidRPr="00F022FE">
              <w:rPr>
                <w:rFonts w:ascii="Times New Roman" w:hAnsi="Times New Roman" w:cs="Times New Roman"/>
                <w:sz w:val="24"/>
                <w:szCs w:val="24"/>
              </w:rPr>
              <w:br/>
              <w:t>не учебные дни</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826"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Новоржев-Михалкино </w:t>
            </w:r>
          </w:p>
        </w:tc>
        <w:tc>
          <w:tcPr>
            <w:tcW w:w="61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23,8 </w:t>
            </w:r>
          </w:p>
        </w:tc>
        <w:tc>
          <w:tcPr>
            <w:tcW w:w="72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удовлетворительное </w:t>
            </w:r>
          </w:p>
        </w:tc>
        <w:tc>
          <w:tcPr>
            <w:tcW w:w="838"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 xml:space="preserve">школьное </w:t>
            </w:r>
          </w:p>
        </w:tc>
        <w:tc>
          <w:tcPr>
            <w:tcW w:w="1403"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 раз в неделю,</w:t>
            </w:r>
            <w:r w:rsidRPr="00F022FE">
              <w:rPr>
                <w:rFonts w:ascii="Times New Roman" w:hAnsi="Times New Roman" w:cs="Times New Roman"/>
                <w:sz w:val="24"/>
                <w:szCs w:val="24"/>
              </w:rPr>
              <w:br/>
              <w:t>кроме каникул</w:t>
            </w:r>
          </w:p>
        </w:tc>
        <w:tc>
          <w:tcPr>
            <w:tcW w:w="59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p>
        </w:tc>
      </w:tr>
    </w:tbl>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xml:space="preserve">Маршрутную автобусную сеть муниципального района обслуживают Новоржевский филиал ГППО «Псковпассажиравтотранс».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Район обслуживают автобусные маршруты различного типа: междугородные, транзитные, пригородные.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Отправление и прием пассажиров осуществляется на автостанции в городе Новоржев, расположенной на пересечении улиц Пушкина и Германа, вместимостью, рассчитанной на единовременное обслуживание 50 пассажиров.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Обслуживание пассажиров находится на невысоком уровне: на ряде маршрутов ощущается низкая частота рейсов, во многих населенных пунктах нет автобусных остановок.</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Выводы: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Новоржевский район имеет разветвленную сеть автомобильных дорог общего пользования, по отношению к которым практически вся территория муниципального района находится в благоприятной зоне.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Большинство населенных пунктов муниципального района попадают в зону благоприятной транспортной доступности при использовании как легкового автомобиля, так и автобуса.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Сеть автобусных маршрутов должна быть укомплектована достаточным количеством подвижного состава с таким расчетом, чтобы обеспечить ее конкурентоспособность с легковым транспортом. Следует обратить внимание на повышение качества автобусных перевозок, в том числе и за счет сооружения автовокзалов, автостанций и остановочных пунктов.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Внешний транспорт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Автодороги местного значения общего пользования необходимо привести в нормативное состояние и обустроить на них твердое покрытие.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 целью повысить транспортное сообщение внутри района генеральным планом рекомендуется реконструкция основных автодорог местного значения по параметрам IV технической категории: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Учитывая рост подвижности населения, намечается увеличение междугородного и пригородного автобусного сообщения.</w:t>
      </w:r>
    </w:p>
    <w:p w:rsidR="00F022FE" w:rsidRDefault="00F022FE" w:rsidP="005D2FF0">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96" w:name="_Toc216434271"/>
      <w:r w:rsidRPr="00F022FE">
        <w:rPr>
          <w:rFonts w:ascii="Times New Roman" w:hAnsi="Times New Roman" w:cs="Times New Roman"/>
          <w:b/>
          <w:bCs/>
          <w:i/>
          <w:sz w:val="24"/>
          <w:szCs w:val="24"/>
        </w:rPr>
        <w:t>3.11. Инженерная инфраструктура</w:t>
      </w:r>
      <w:bookmarkEnd w:id="96"/>
    </w:p>
    <w:p w:rsidR="00F022FE" w:rsidRPr="00F022FE" w:rsidRDefault="00F022FE" w:rsidP="00F022FE">
      <w:pPr>
        <w:spacing w:after="0" w:line="240" w:lineRule="auto"/>
        <w:jc w:val="both"/>
        <w:rPr>
          <w:rFonts w:ascii="Times New Roman" w:hAnsi="Times New Roman" w:cs="Times New Roman"/>
          <w:b/>
          <w:bCs/>
          <w:i/>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7" w:name="_Toc216434272"/>
      <w:r w:rsidRPr="00F022FE">
        <w:rPr>
          <w:rFonts w:ascii="Times New Roman" w:hAnsi="Times New Roman" w:cs="Times New Roman"/>
          <w:b/>
          <w:bCs/>
          <w:sz w:val="24"/>
          <w:szCs w:val="24"/>
        </w:rPr>
        <w:t>3.11.1. Электроснабжение</w:t>
      </w:r>
      <w:bookmarkEnd w:id="97"/>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Электроснабжение потребителей Новоржевского района Псковской области осуществляет Псковский филиал ПАО «Россети Северо-Запад».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 территории района расположены: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110 кВ Новоржев (ПС 284) (2х6,3МВА);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ПС 35 кВ Вехно (ПС 21) (2х1,6МВА);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Адорье (ПС 60) (2х1,6МВА);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Жадрицы (ПС 24) (2х1,6МВА);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ПС 35 кВ Выбор (ПС 16) (2х1,6МВА).</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52 - Текущие характеристики центров питания напряжением 35 кВ и выше Псковского филиала ПАО "Россети Северо-Запад", актуально на 01.09.2025 г.</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12"/>
        <w:gridCol w:w="3677"/>
        <w:gridCol w:w="1623"/>
        <w:gridCol w:w="1893"/>
        <w:gridCol w:w="1624"/>
      </w:tblGrid>
      <w:tr w:rsidR="00F022FE" w:rsidRPr="00F022FE" w:rsidTr="00F022FE">
        <w:trPr>
          <w:trHeight w:val="23"/>
          <w:jc w:val="center"/>
        </w:trPr>
        <w:tc>
          <w:tcPr>
            <w:tcW w:w="373" w:type="pct"/>
            <w:vMerge w:val="restar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 п/п</w:t>
            </w:r>
          </w:p>
        </w:tc>
        <w:tc>
          <w:tcPr>
            <w:tcW w:w="1998" w:type="pct"/>
            <w:vMerge w:val="restar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Наименование центра питания</w:t>
            </w:r>
          </w:p>
        </w:tc>
        <w:tc>
          <w:tcPr>
            <w:tcW w:w="2629" w:type="pct"/>
            <w:gridSpan w:val="3"/>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Технические характеристики</w:t>
            </w:r>
          </w:p>
        </w:tc>
      </w:tr>
      <w:tr w:rsidR="00F022FE" w:rsidRPr="00F022FE" w:rsidTr="00F022FE">
        <w:trPr>
          <w:trHeight w:val="23"/>
          <w:jc w:val="center"/>
        </w:trPr>
        <w:tc>
          <w:tcPr>
            <w:tcW w:w="373" w:type="pct"/>
            <w:vMerge/>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p>
        </w:tc>
        <w:tc>
          <w:tcPr>
            <w:tcW w:w="1998" w:type="pct"/>
            <w:vMerge/>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p>
        </w:tc>
        <w:tc>
          <w:tcPr>
            <w:tcW w:w="75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Классы напряжения, кВ</w:t>
            </w:r>
          </w:p>
        </w:tc>
        <w:tc>
          <w:tcPr>
            <w:tcW w:w="970"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Установленная мощность, МВА</w:t>
            </w:r>
          </w:p>
        </w:tc>
        <w:tc>
          <w:tcPr>
            <w:tcW w:w="909"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lang w:val="en-US"/>
              </w:rPr>
            </w:pPr>
            <w:r w:rsidRPr="00F022FE">
              <w:rPr>
                <w:rFonts w:ascii="Times New Roman" w:hAnsi="Times New Roman" w:cs="Times New Roman"/>
                <w:b/>
                <w:bCs/>
                <w:sz w:val="24"/>
                <w:szCs w:val="24"/>
                <w:lang w:val="en-US"/>
              </w:rPr>
              <w:t>Текущая загрузка центра питания, %</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bCs/>
                <w:sz w:val="24"/>
                <w:szCs w:val="24"/>
                <w:lang w:val="en-US"/>
              </w:rPr>
            </w:pPr>
            <w:r w:rsidRPr="00F022FE">
              <w:rPr>
                <w:rFonts w:ascii="Times New Roman" w:hAnsi="Times New Roman" w:cs="Times New Roman"/>
                <w:bCs/>
                <w:sz w:val="24"/>
                <w:szCs w:val="24"/>
                <w:lang w:val="en-US"/>
              </w:rPr>
              <w:t>ПС 35 кВ Выбор (ПС 16)</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81</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lastRenderedPageBreak/>
              <w:t>2</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Вехно (ПС 21)</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25</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Жадрицы (ПС 24)</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7</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35 кВ Адорье (ПС 60)</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3,2</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w:t>
            </w:r>
          </w:p>
        </w:tc>
      </w:tr>
      <w:tr w:rsidR="00F022FE" w:rsidRPr="00F022FE" w:rsidTr="00F022FE">
        <w:trPr>
          <w:trHeight w:val="23"/>
          <w:jc w:val="center"/>
        </w:trPr>
        <w:tc>
          <w:tcPr>
            <w:tcW w:w="373"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5</w:t>
            </w:r>
          </w:p>
        </w:tc>
        <w:tc>
          <w:tcPr>
            <w:tcW w:w="1998"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ПС 110 кВ Новоржев (ПС 284)</w:t>
            </w:r>
          </w:p>
        </w:tc>
        <w:tc>
          <w:tcPr>
            <w:tcW w:w="75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110/35/10</w:t>
            </w:r>
          </w:p>
        </w:tc>
        <w:tc>
          <w:tcPr>
            <w:tcW w:w="970"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12,6</w:t>
            </w:r>
          </w:p>
        </w:tc>
        <w:tc>
          <w:tcPr>
            <w:tcW w:w="909" w:type="pct"/>
            <w:tcBorders>
              <w:tl2br w:val="nil"/>
              <w:tr2bl w:val="nil"/>
            </w:tcBorders>
            <w:shd w:val="clear" w:color="auto" w:fill="auto"/>
            <w:noWrap/>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37</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Балансовая принадлежность центров питания – производственное отделение «Восточные электрические сети» Псковского филиала ПАО «Россети Северо-Запад».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территории района проходят воздушные линии электропередачи: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110 кВ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- 110 кВ Бежаницкая-1;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Кудеверская-1;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Жадрицкая-1;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Жадрицкая-2;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Новоржевская-1;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Новоржевская-2;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Вехновская-1;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Адоринская-1;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ВЛ - 35 кВ Адоринская-2.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 линии 110-35 кВ введены в эксплуатацию в 1977-1988 годах.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Распределение электроэнергии по потребителям района осуществляется по линиям 10 кВ через сеть ТП 10\0,4 кВ.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границах района планировочными ограничениями являются шумовые зоны электрических подстанций 110 кВ,35 кВ и охранные зоны воздушных линий электропередачи напряжением 110 кВ, 35 кВ. Все существующие электроподстанции района открытого типа имеют трансформаторы, основные источники шума, мощностью от 1,6 МВА до 6,3 МВА. В зависимости от мощности и напряжения трансформаторов расстояние от них до жилой застройки составляет: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110 кВ – 140 м (для 2х трансформаторов мощностью по 6,3 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35 кВ – 30 м (для трансформаторов мощностью 2х1,6 МВА).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Схемой территориального планирования предусматривается размещение на территории района объектов индивидуального жилищного строительства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 электрических нагрузок коммунально-бытовых потребителей определен по удельным показателям в соответствии с «Инструкцией по проектированию городских электрических сетей» РД-34.20.185-94 с учетом пищеприготовления на газовых плитах.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Удельная электрическая нагрузка составит - 0,4 кВт/чел.</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53 - Прогнозируемые электрические нагрузки коммунально-бытовых потребителей района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4"/>
        <w:gridCol w:w="2436"/>
        <w:gridCol w:w="2459"/>
      </w:tblGrid>
      <w:tr w:rsidR="00F022FE" w:rsidRPr="00F022FE" w:rsidTr="00F022FE">
        <w:trPr>
          <w:trHeight w:val="23"/>
          <w:jc w:val="center"/>
        </w:trPr>
        <w:tc>
          <w:tcPr>
            <w:tcW w:w="424" w:type="pct"/>
            <w:vMerge w:val="restar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пп</w:t>
            </w:r>
          </w:p>
        </w:tc>
        <w:tc>
          <w:tcPr>
            <w:tcW w:w="1980" w:type="pct"/>
            <w:vMerge w:val="restar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Население, тыс. чел.</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Нагрузка, МВт.</w:t>
            </w:r>
          </w:p>
        </w:tc>
      </w:tr>
      <w:tr w:rsidR="00F022FE" w:rsidRPr="00F022FE" w:rsidTr="00F022FE">
        <w:trPr>
          <w:trHeight w:val="23"/>
          <w:jc w:val="center"/>
        </w:trPr>
        <w:tc>
          <w:tcPr>
            <w:tcW w:w="424" w:type="pct"/>
            <w:vMerge/>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980" w:type="pct"/>
            <w:vMerge/>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2596" w:type="pct"/>
            <w:gridSpan w:val="2"/>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Стабилизационный сценарий</w:t>
            </w:r>
          </w:p>
        </w:tc>
      </w:tr>
      <w:tr w:rsidR="00F022FE" w:rsidRPr="00F022FE" w:rsidTr="00F022FE">
        <w:trPr>
          <w:trHeight w:val="23"/>
          <w:jc w:val="center"/>
        </w:trPr>
        <w:tc>
          <w:tcPr>
            <w:tcW w:w="424"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
                <w:bCs/>
                <w:sz w:val="24"/>
                <w:szCs w:val="24"/>
                <w:lang w:bidi="ru-RU"/>
              </w:rPr>
            </w:pPr>
            <w:r w:rsidRPr="00F022FE">
              <w:rPr>
                <w:rFonts w:ascii="Times New Roman" w:hAnsi="Times New Roman" w:cs="Times New Roman"/>
                <w:b/>
                <w:bCs/>
                <w:sz w:val="24"/>
                <w:szCs w:val="24"/>
                <w:lang w:bidi="ru-RU"/>
              </w:rPr>
              <w:t>1</w:t>
            </w:r>
          </w:p>
        </w:tc>
        <w:tc>
          <w:tcPr>
            <w:tcW w:w="198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 Новоржев</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1,4</w:t>
            </w:r>
          </w:p>
        </w:tc>
      </w:tr>
      <w:tr w:rsidR="00F022FE" w:rsidRPr="00F022FE" w:rsidTr="00F022FE">
        <w:trPr>
          <w:trHeight w:val="23"/>
          <w:jc w:val="center"/>
        </w:trPr>
        <w:tc>
          <w:tcPr>
            <w:tcW w:w="424"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198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Сельские поселения</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4.1</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1.6</w:t>
            </w:r>
          </w:p>
        </w:tc>
      </w:tr>
      <w:tr w:rsidR="00F022FE" w:rsidRPr="00F022FE" w:rsidTr="00F022FE">
        <w:trPr>
          <w:trHeight w:val="23"/>
          <w:jc w:val="center"/>
        </w:trPr>
        <w:tc>
          <w:tcPr>
            <w:tcW w:w="2404" w:type="pct"/>
            <w:gridSpan w:val="2"/>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по району:</w:t>
            </w:r>
          </w:p>
        </w:tc>
        <w:tc>
          <w:tcPr>
            <w:tcW w:w="129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7,5</w:t>
            </w:r>
          </w:p>
        </w:tc>
        <w:tc>
          <w:tcPr>
            <w:tcW w:w="1305"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3,0 </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 ориентировочных перспективных электрических нагрузок коммунально-бытовых потребителей с разбивкой по территориям, предусмотренным под развитие не приводится, так как в схеме территориального планирования муниципального района в соответствии с ст.19 ГрК РФ не предусматривается функциональное зонирование территории.</w:t>
      </w:r>
    </w:p>
    <w:p w:rsidR="00F022FE" w:rsidRPr="00F022FE" w:rsidRDefault="00F022FE" w:rsidP="00F022FE">
      <w:pPr>
        <w:spacing w:after="0" w:line="240" w:lineRule="auto"/>
        <w:jc w:val="both"/>
        <w:rPr>
          <w:rFonts w:ascii="Times New Roman" w:hAnsi="Times New Roman" w:cs="Times New Roman"/>
          <w:sz w:val="24"/>
          <w:szCs w:val="24"/>
        </w:rPr>
      </w:pPr>
    </w:p>
    <w:p w:rsidR="00F022FE" w:rsidRDefault="00F022FE" w:rsidP="00F022FE">
      <w:pPr>
        <w:spacing w:after="0" w:line="240" w:lineRule="auto"/>
        <w:jc w:val="center"/>
        <w:rPr>
          <w:rFonts w:ascii="Times New Roman" w:hAnsi="Times New Roman" w:cs="Times New Roman"/>
          <w:b/>
          <w:bCs/>
          <w:sz w:val="24"/>
          <w:szCs w:val="24"/>
        </w:rPr>
      </w:pPr>
      <w:bookmarkStart w:id="98" w:name="_Toc216434273"/>
    </w:p>
    <w:p w:rsidR="00F022FE" w:rsidRDefault="00F022FE" w:rsidP="00F022FE">
      <w:pPr>
        <w:spacing w:after="0" w:line="240" w:lineRule="auto"/>
        <w:jc w:val="center"/>
        <w:rPr>
          <w:rFonts w:ascii="Times New Roman" w:hAnsi="Times New Roman" w:cs="Times New Roman"/>
          <w:b/>
          <w:bCs/>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r w:rsidRPr="00F022FE">
        <w:rPr>
          <w:rFonts w:ascii="Times New Roman" w:hAnsi="Times New Roman" w:cs="Times New Roman"/>
          <w:b/>
          <w:bCs/>
          <w:sz w:val="24"/>
          <w:szCs w:val="24"/>
        </w:rPr>
        <w:lastRenderedPageBreak/>
        <w:t>3.11.2. Газоснабжение</w:t>
      </w:r>
      <w:bookmarkEnd w:id="98"/>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Псковская область включена в Программу развития газоснабжения и газификации ПАО «Газпром» в 2005 году.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ПАО «Газпром» в первую очередь включает в Программу наиболее социально значимые и экономически выгодные объекты газификации, где при наименьших затратах газифицируется наибольшее количество населения и осуществляется перевод на природный газ объектов теплоэнергетики.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Программу газификации 2021–2025 в Псковской области включены мероприятия, касающиеся Новоржевского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Газопровод-отвод и ГРС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 межпоселковый ГРС «Новоржев» – г. Новоржев Новоржевского района Псковской области.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Планируемая ГРС «Новоржев» находится в д. Булохово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 момент разработки Схемы территориального планирования Новоржевского района на территории Новоржевского района введен в строй объект капитального строительства «Газопровод межпоселковый ГРС Новоржев - г. Новоржев Новоржевского района Псковской области», построенный по программе развития газоснабжения и газификации Псковской области на период 2021-2025 годы, со следующими характеристиками: газопровод высокого давления </w:t>
      </w:r>
      <w:r w:rsidRPr="00F022FE">
        <w:rPr>
          <w:rFonts w:ascii="Times New Roman" w:hAnsi="Times New Roman" w:cs="Times New Roman"/>
          <w:sz w:val="24"/>
          <w:szCs w:val="24"/>
          <w:lang w:val="en-US"/>
        </w:rPr>
        <w:t>II</w:t>
      </w:r>
      <w:r w:rsidRPr="00F022FE">
        <w:rPr>
          <w:rFonts w:ascii="Times New Roman" w:hAnsi="Times New Roman" w:cs="Times New Roman"/>
          <w:sz w:val="24"/>
          <w:szCs w:val="24"/>
        </w:rPr>
        <w:t xml:space="preserve"> категории, протяженностью 4,49 км.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Также, по территории Новоржевского района проходят: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Газопровод - отвод и ГРС Новоржев Псковской области. Проектная пропускная способность газопровода - отвода - 71,2 млн. куб. метров в год; производительность ГРС - 8,4 тыс. куб. метров в час.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Газопровод - отвод и ГРС Пушкинские Горы Псковской области. Проектная пропускная способность газопровода - отвода - 53,9 млн. куб. метров в год; производительностью ГРС - 12,4 тыс. куб. метров в час.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бытовых нужд населения используется баллонный сжиженный газ (СУГ).</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Перспективное газоснабжение Новоржевского района природным газом, в соответствии с решениями Генеральной схемы газоснабжения и газификации Псковской области, разработанной ОАО «Газпром», ОАО «Промгаз», предусматривается от газопровода-отвода на Великие Луки ( от магистрального газопровода - МГ Валдай – Псков – Рига).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генеральной Схеме газоснабжения Псковской области имеется также предложение по газификации потребителей Новоржевского района сжиженным природным газом (СПГ) от проектируемого завода 100 % ожижения метана в городе Псков.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Направления расходования природного газа: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нужды населения (приготовление пищи и бытовой горячей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энергоноситель для источников теплоты;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технологические потребности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Газификация района на базе использования природного газа позволит получить высокий социальный и экономический эффект, улучшить качество жизни населения, перевести на газовое топливо источники теплоснабжения.</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xml:space="preserve">Таблица 54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3349"/>
        <w:gridCol w:w="2069"/>
        <w:gridCol w:w="2693"/>
      </w:tblGrid>
      <w:tr w:rsidR="00F022FE" w:rsidRPr="00F022FE" w:rsidTr="00F022FE">
        <w:trPr>
          <w:trHeight w:val="23"/>
          <w:tblHeader/>
          <w:jc w:val="center"/>
        </w:trPr>
        <w:tc>
          <w:tcPr>
            <w:tcW w:w="699"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w:t>
            </w:r>
          </w:p>
        </w:tc>
        <w:tc>
          <w:tcPr>
            <w:tcW w:w="1776" w:type="pct"/>
            <w:vMerge w:val="restar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Потребитель</w:t>
            </w:r>
          </w:p>
        </w:tc>
        <w:tc>
          <w:tcPr>
            <w:tcW w:w="2525" w:type="pct"/>
            <w:gridSpan w:val="2"/>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Количество млн. м3/год</w:t>
            </w:r>
          </w:p>
        </w:tc>
      </w:tr>
      <w:tr w:rsidR="00F022FE" w:rsidRPr="00F022FE" w:rsidTr="00F022FE">
        <w:trPr>
          <w:trHeight w:val="23"/>
          <w:tblHeader/>
          <w:jc w:val="center"/>
        </w:trPr>
        <w:tc>
          <w:tcPr>
            <w:tcW w:w="699"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776" w:type="pct"/>
            <w:vMerge/>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1-я очередь</w:t>
            </w:r>
          </w:p>
        </w:tc>
        <w:tc>
          <w:tcPr>
            <w:tcW w:w="1428"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Расчётный срок</w:t>
            </w:r>
          </w:p>
        </w:tc>
      </w:tr>
      <w:tr w:rsidR="00F022FE" w:rsidRPr="00F022FE" w:rsidTr="00F022FE">
        <w:trPr>
          <w:trHeight w:val="23"/>
          <w:jc w:val="center"/>
        </w:trPr>
        <w:tc>
          <w:tcPr>
            <w:tcW w:w="2475" w:type="pct"/>
            <w:gridSpan w:val="2"/>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по району в т.ч.</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20,8</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7,2</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21/8,0</w:t>
            </w:r>
          </w:p>
        </w:tc>
      </w:tr>
      <w:tr w:rsidR="00F022FE" w:rsidRPr="00F022FE" w:rsidTr="00F022FE">
        <w:trPr>
          <w:trHeight w:val="23"/>
          <w:jc w:val="center"/>
        </w:trPr>
        <w:tc>
          <w:tcPr>
            <w:tcW w:w="69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776"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Население</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1,8</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0,8</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1,7/0,8</w:t>
            </w:r>
          </w:p>
        </w:tc>
      </w:tr>
      <w:tr w:rsidR="00F022FE" w:rsidRPr="00F022FE" w:rsidTr="00F022FE">
        <w:trPr>
          <w:trHeight w:val="23"/>
          <w:jc w:val="center"/>
        </w:trPr>
        <w:tc>
          <w:tcPr>
            <w:tcW w:w="69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776"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Теплоисточники</w:t>
            </w:r>
          </w:p>
        </w:tc>
        <w:tc>
          <w:tcPr>
            <w:tcW w:w="1097"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rPr>
              <w:t>19,0</w:t>
            </w:r>
            <w:r w:rsidRPr="00F022FE">
              <w:rPr>
                <w:rFonts w:ascii="Times New Roman" w:hAnsi="Times New Roman" w:cs="Times New Roman"/>
                <w:sz w:val="24"/>
                <w:szCs w:val="24"/>
                <w:lang w:val="en-US"/>
              </w:rPr>
              <w:t>/</w:t>
            </w:r>
            <w:r w:rsidRPr="00F022FE">
              <w:rPr>
                <w:rFonts w:ascii="Times New Roman" w:hAnsi="Times New Roman" w:cs="Times New Roman"/>
                <w:sz w:val="24"/>
                <w:szCs w:val="24"/>
              </w:rPr>
              <w:t>6,4</w:t>
            </w:r>
          </w:p>
        </w:tc>
        <w:tc>
          <w:tcPr>
            <w:tcW w:w="1428"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19,3/7,2</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Примечание: через «/» - показатели для города Новоржев.</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Для обеспечения стабильного и надёжного газоснабжения схемой территориального планирования рекомендуется: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xml:space="preserve">строительство магистрального газопровода - отвода «Бежаницы- Новоржев»;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строительство распределительных газопроводов в городе и строительство ГРП.</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окончательная газификация жилищного фонда района природным газом (прокладка распределительных газопроводов) г.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диагностика газораспределительных систем для обеспечения безопасных условий эксплуатации г. Новоржев, ул. Пушкина, д. 152а, 150б, 150в; г. Новоржев, ул. Льва Толстого д. 41; г. Новоржев, ул. Пригородная, д. 17; д. Орша, ул. Мелиораторов д. 1-4;</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строительство «Газопровод межпоселковый ГРС Новоржев - д. Вехно Новоржевского района Псковской области».</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99" w:name="_Toc216434274"/>
      <w:r w:rsidRPr="00F022FE">
        <w:rPr>
          <w:rFonts w:ascii="Times New Roman" w:hAnsi="Times New Roman" w:cs="Times New Roman"/>
          <w:b/>
          <w:bCs/>
          <w:sz w:val="24"/>
          <w:szCs w:val="24"/>
        </w:rPr>
        <w:t>3.11.3. Теплоснабжение</w:t>
      </w:r>
      <w:bookmarkEnd w:id="99"/>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района услуга «горячее отопление» отсутствует. Услуга «теплоснабжения» предоставляется 15 многоквартирным домам, площадью 13800,8 кв.м. Количество квартир, подключенных к центральному отоплению – 288 ед.</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Протяженность тепловых сетей в разрезе населенных пунктов, техническое состояние, износ.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г.Новоржев </w:t>
      </w:r>
      <w:r w:rsidRPr="00F022FE">
        <w:rPr>
          <w:rFonts w:ascii="Times New Roman" w:hAnsi="Times New Roman" w:cs="Times New Roman"/>
          <w:sz w:val="24"/>
          <w:szCs w:val="24"/>
        </w:rPr>
        <w:tab/>
        <w:t xml:space="preserve">– 2091,3 м; </w:t>
      </w:r>
      <w:r w:rsidRPr="00F022FE">
        <w:rPr>
          <w:rFonts w:ascii="Times New Roman" w:hAnsi="Times New Roman" w:cs="Times New Roman"/>
          <w:sz w:val="24"/>
          <w:szCs w:val="24"/>
        </w:rPr>
        <w:tab/>
        <w:t>износ – 57%;</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д.Орша </w:t>
      </w:r>
      <w:r w:rsidRPr="00F022FE">
        <w:rPr>
          <w:rFonts w:ascii="Times New Roman" w:hAnsi="Times New Roman" w:cs="Times New Roman"/>
          <w:sz w:val="24"/>
          <w:szCs w:val="24"/>
        </w:rPr>
        <w:tab/>
        <w:t xml:space="preserve">– 308 м; </w:t>
      </w:r>
      <w:r w:rsidRPr="00F022FE">
        <w:rPr>
          <w:rFonts w:ascii="Times New Roman" w:hAnsi="Times New Roman" w:cs="Times New Roman"/>
          <w:sz w:val="24"/>
          <w:szCs w:val="24"/>
        </w:rPr>
        <w:tab/>
        <w:t>износ – 30%;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д.Вехно </w:t>
      </w:r>
      <w:r w:rsidRPr="00F022FE">
        <w:rPr>
          <w:rFonts w:ascii="Times New Roman" w:hAnsi="Times New Roman" w:cs="Times New Roman"/>
          <w:sz w:val="24"/>
          <w:szCs w:val="24"/>
        </w:rPr>
        <w:tab/>
        <w:t xml:space="preserve">– 204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 Выбор </w:t>
      </w:r>
      <w:r w:rsidRPr="00F022FE">
        <w:rPr>
          <w:rFonts w:ascii="Times New Roman" w:hAnsi="Times New Roman" w:cs="Times New Roman"/>
          <w:sz w:val="24"/>
          <w:szCs w:val="24"/>
        </w:rPr>
        <w:tab/>
        <w:t xml:space="preserve">– 251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д. Дубровы </w:t>
      </w:r>
      <w:r w:rsidRPr="00F022FE">
        <w:rPr>
          <w:rFonts w:ascii="Times New Roman" w:hAnsi="Times New Roman" w:cs="Times New Roman"/>
          <w:sz w:val="24"/>
          <w:szCs w:val="24"/>
        </w:rPr>
        <w:tab/>
        <w:t xml:space="preserve">– 34 м; </w:t>
      </w:r>
      <w:r w:rsidRPr="00F022FE">
        <w:rPr>
          <w:rFonts w:ascii="Times New Roman" w:hAnsi="Times New Roman" w:cs="Times New Roman"/>
          <w:sz w:val="24"/>
          <w:szCs w:val="24"/>
        </w:rPr>
        <w:tab/>
        <w:t>износ – 100%.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Теплоснабжение населенных пунктов Новоржевского района осуществляется децентрализовано – от мелких котельных и от индивидуальных источников теплоты.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районе функционируют 20 мелких котельных тепловой производительностью до 1 Гкал/час.</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Основной вид топлива для тепловых источников – уголь, дрова, электроэнергия. Установленное оборудование: котлы - Луга, Универсал, КВТС, ЭКЛЗ-100; введены в эксплуатацию - в 1980-1993 г. г.</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Степень износа котлового оборудования и тепловых сетей от котельных значительная.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55 - Перечень и характеристика котельных (наименование, месторасположение, наименование отапливаемых объектов, тех. Характеристика котлов, вид используемого топлива, износ, мощность)</w:t>
      </w:r>
    </w:p>
    <w:tbl>
      <w:tblPr>
        <w:tblStyle w:val="aa"/>
        <w:tblW w:w="5000" w:type="pct"/>
        <w:jc w:val="center"/>
        <w:tblLook w:val="04A0" w:firstRow="1" w:lastRow="0" w:firstColumn="1" w:lastColumn="0" w:noHBand="0" w:noVBand="1"/>
      </w:tblPr>
      <w:tblGrid>
        <w:gridCol w:w="522"/>
        <w:gridCol w:w="1752"/>
        <w:gridCol w:w="1263"/>
        <w:gridCol w:w="1624"/>
        <w:gridCol w:w="1298"/>
        <w:gridCol w:w="844"/>
        <w:gridCol w:w="2126"/>
      </w:tblGrid>
      <w:tr w:rsidR="00F022FE" w:rsidRPr="00F022FE" w:rsidTr="00F022FE">
        <w:trPr>
          <w:trHeight w:val="23"/>
          <w:tblHeader/>
          <w:jc w:val="center"/>
        </w:trPr>
        <w:tc>
          <w:tcPr>
            <w:tcW w:w="281"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 п/п</w:t>
            </w:r>
          </w:p>
        </w:tc>
        <w:tc>
          <w:tcPr>
            <w:tcW w:w="898"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Наименование котельной, адрес</w:t>
            </w:r>
          </w:p>
        </w:tc>
        <w:tc>
          <w:tcPr>
            <w:tcW w:w="1064"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Марка котлов</w:t>
            </w:r>
          </w:p>
        </w:tc>
        <w:tc>
          <w:tcPr>
            <w:tcW w:w="509"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Вид топлива</w:t>
            </w:r>
          </w:p>
        </w:tc>
        <w:tc>
          <w:tcPr>
            <w:tcW w:w="740"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Мощность, Гкал/час</w:t>
            </w:r>
          </w:p>
        </w:tc>
        <w:tc>
          <w:tcPr>
            <w:tcW w:w="485"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Износ, %</w:t>
            </w:r>
          </w:p>
        </w:tc>
        <w:tc>
          <w:tcPr>
            <w:tcW w:w="1023" w:type="pct"/>
            <w:vAlign w:val="center"/>
          </w:tcPr>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Отапливаемые</w:t>
            </w:r>
          </w:p>
          <w:p w:rsidR="00F022FE" w:rsidRPr="00F022FE" w:rsidRDefault="00F022FE" w:rsidP="00F022FE">
            <w:pPr>
              <w:jc w:val="both"/>
              <w:rPr>
                <w:rFonts w:ascii="Times New Roman" w:hAnsi="Times New Roman" w:cs="Times New Roman"/>
                <w:b/>
                <w:bCs/>
                <w:iCs/>
                <w:sz w:val="24"/>
                <w:szCs w:val="24"/>
              </w:rPr>
            </w:pPr>
            <w:r w:rsidRPr="00F022FE">
              <w:rPr>
                <w:rFonts w:ascii="Times New Roman" w:hAnsi="Times New Roman" w:cs="Times New Roman"/>
                <w:b/>
                <w:bCs/>
                <w:iCs/>
                <w:sz w:val="24"/>
                <w:szCs w:val="24"/>
              </w:rPr>
              <w:t>объекты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w:t>
            </w:r>
          </w:p>
        </w:tc>
        <w:tc>
          <w:tcPr>
            <w:tcW w:w="898" w:type="pct"/>
            <w:vAlign w:val="center"/>
          </w:tcPr>
          <w:p w:rsidR="00F022FE" w:rsidRPr="00F022FE" w:rsidRDefault="00F022FE" w:rsidP="00F022FE">
            <w:pPr>
              <w:jc w:val="both"/>
              <w:rPr>
                <w:rFonts w:ascii="Times New Roman" w:hAnsi="Times New Roman" w:cs="Times New Roman"/>
                <w:bCs/>
                <w:sz w:val="24"/>
                <w:szCs w:val="24"/>
              </w:rPr>
            </w:pPr>
            <w:r w:rsidRPr="00F022FE">
              <w:rPr>
                <w:rFonts w:ascii="Times New Roman" w:hAnsi="Times New Roman" w:cs="Times New Roman"/>
                <w:bCs/>
                <w:sz w:val="24"/>
                <w:szCs w:val="24"/>
              </w:rPr>
              <w:t>Котельная №1 (д.Выбор)</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М1 – 2011 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КВР-0,8- 2021 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ДК</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2.</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2 (д.Вехно)</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 2024 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КВР-0,3-2015г.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1,1</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3.</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3 (г. Новоржев, ул. Пушкина, д. 143)</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КВР-0,8 - 2022г.;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КВР-0,8- 2024 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1.МКД г.Новоржев, ул.Пушкина, д.152;</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2.МКД г.Новоржев, ул.Пушкина, </w:t>
            </w:r>
            <w:r w:rsidRPr="00F022FE">
              <w:rPr>
                <w:rFonts w:ascii="Times New Roman" w:hAnsi="Times New Roman" w:cs="Times New Roman"/>
                <w:bCs/>
                <w:iCs/>
                <w:sz w:val="24"/>
                <w:szCs w:val="24"/>
              </w:rPr>
              <w:lastRenderedPageBreak/>
              <w:t>д.152А;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3.МКД г.Новоржев, ул.Пушкина, д.150Б;</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2.МКД г.Новоржев, ул. Пушкина, д.150В</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4.</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5 (г.Новоржев, ул. Германа, д.72) (НСШ)</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КВР-0,8-2023г.; КВР-1-2020г.; КВР-0,3-2016г.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2,1</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школы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д/с «Светлячок»</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4.МКД г.Новоржев, ул.Германа,д.77</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5.МКД г.Новоржев, ул.Германа,д.81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5.</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6 (г.Новоржев, ул. Германа, д. 65) (ДК)</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 КВР-1-2021г.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ДК</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ДШИ</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районного суда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4.Административное здание (г.Новоржев, ул.Германа, д.56)</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5.Здание ПАО Ростелеком</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6.Здание ЦБ</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7.МКД г.Новоржев, ул.Германа, д.67</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8.МКД г.Новоржев, ул.Псковская, д.1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6.</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7 (г.Новоржев, ул.Германа, д.55) (администрация)</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КВР-0,8-2021г.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администрации района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2.здания гаражей</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3.Здание ГП «Новоржев»</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4.МКД г.Новоржев, ул.Германа, д.57</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7.</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Котельная № 8 (г.Новоржев, ул. Медицинская, д. 2 (филиал </w:t>
            </w:r>
            <w:r w:rsidRPr="00F022FE">
              <w:rPr>
                <w:rFonts w:ascii="Times New Roman" w:hAnsi="Times New Roman" w:cs="Times New Roman"/>
                <w:bCs/>
                <w:iCs/>
                <w:sz w:val="24"/>
                <w:szCs w:val="24"/>
              </w:rPr>
              <w:lastRenderedPageBreak/>
              <w:t>межрайонной больницы)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КВР-0,3-2016г.;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КВР-0,8-2024г;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КВР-0,8 - </w:t>
            </w:r>
            <w:r w:rsidRPr="00F022FE">
              <w:rPr>
                <w:rFonts w:ascii="Times New Roman" w:hAnsi="Times New Roman" w:cs="Times New Roman"/>
                <w:bCs/>
                <w:iCs/>
                <w:sz w:val="24"/>
                <w:szCs w:val="24"/>
              </w:rPr>
              <w:lastRenderedPageBreak/>
              <w:t>2024</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1,9</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больницы</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2.Здание поликлиники</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3.МКД </w:t>
            </w:r>
            <w:r w:rsidRPr="00F022FE">
              <w:rPr>
                <w:rFonts w:ascii="Times New Roman" w:hAnsi="Times New Roman" w:cs="Times New Roman"/>
                <w:bCs/>
                <w:iCs/>
                <w:sz w:val="24"/>
                <w:szCs w:val="24"/>
              </w:rPr>
              <w:lastRenderedPageBreak/>
              <w:t>г.Новоржев,ул.Льва Толстого, д.41</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8.</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9 (г.Новоржев, ул. Карла Маркса, д.44)</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КРМ-5-2002г.; КРМ-5-2002г.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9.</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10 (Новоржевский р-н, д. Орша, ул. Мелиораторов)</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КВР-0,8-2021г.; КВР-1,0-2021г.; КВР-1,0-2022г.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МКД:</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1.Новоржевский р-н, д.Орша, ул.Мелиораторов, д.1;</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2. Новоржевский р-н, д.Орша, ул.Мелиораторов, д.2;</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3. Новоржевский р-н, д.Орша, ул.Мелиораторов, д.3;</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4. Новоржевский р-н, д.Орша, ул.Мелиораторов, д.1;</w:t>
            </w:r>
          </w:p>
          <w:p w:rsidR="00F022FE" w:rsidRPr="00F022FE" w:rsidRDefault="00F022FE" w:rsidP="00F022FE">
            <w:pPr>
              <w:jc w:val="both"/>
              <w:rPr>
                <w:rFonts w:ascii="Times New Roman" w:hAnsi="Times New Roman" w:cs="Times New Roman"/>
                <w:bCs/>
                <w:iCs/>
                <w:sz w:val="24"/>
                <w:szCs w:val="24"/>
              </w:rPr>
            </w:pP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10.</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11 (д. Дубровы)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КВР-0,35-2020г.;</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КУМ-5,02-2000г.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0,8</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11.</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Котельная № 14 (г.Новоржев, ул. Набережная) (баня)</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КВР-0,5-2020г.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бани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12.</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 57</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Универсал-0,3; Универсал-0,3</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100</w:t>
            </w: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соц.приюта для подростков</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13.</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 Новоржев, ул. Пушкина, д. 125а</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ЭПЗ-100; ЭПЗ-100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электроэнергия</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0,2</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полиции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14.</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 72</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КТФ-300; КТФ-300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АТП</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15.</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Карла Маркса, д. 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КТФ-300; КТФ-300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0,4</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ДЭУ-2</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16.</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г.Новоржев, </w:t>
            </w:r>
            <w:r w:rsidRPr="00F022FE">
              <w:rPr>
                <w:rFonts w:ascii="Times New Roman" w:hAnsi="Times New Roman" w:cs="Times New Roman"/>
                <w:bCs/>
                <w:iCs/>
                <w:sz w:val="24"/>
                <w:szCs w:val="24"/>
              </w:rPr>
              <w:lastRenderedPageBreak/>
              <w:t>ул.Некрасова, д.35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 xml:space="preserve">КВР-0,8; </w:t>
            </w:r>
            <w:r w:rsidRPr="00F022FE">
              <w:rPr>
                <w:rFonts w:ascii="Times New Roman" w:hAnsi="Times New Roman" w:cs="Times New Roman"/>
                <w:bCs/>
                <w:iCs/>
                <w:sz w:val="24"/>
                <w:szCs w:val="24"/>
              </w:rPr>
              <w:lastRenderedPageBreak/>
              <w:t>КВР-0,8</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lastRenderedPageBreak/>
              <w:t>1,6</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 xml:space="preserve">1.Здание </w:t>
            </w:r>
            <w:r w:rsidRPr="00F022FE">
              <w:rPr>
                <w:rFonts w:ascii="Times New Roman" w:hAnsi="Times New Roman" w:cs="Times New Roman"/>
                <w:bCs/>
                <w:iCs/>
                <w:sz w:val="24"/>
                <w:szCs w:val="24"/>
              </w:rPr>
              <w:lastRenderedPageBreak/>
              <w:t>хлебозавода</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lastRenderedPageBreak/>
              <w:t>17.</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д.45</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Лотос</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РАЙПО</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18.</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д.37</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КВ-300</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Уголь/</w:t>
            </w:r>
          </w:p>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0,2</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аптеки</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19.</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г.Новоржев, ул. Пушкина, д.132</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КВР-0,3 – 2022г.</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0,3</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детский сал «Ленок»</w:t>
            </w:r>
          </w:p>
        </w:tc>
      </w:tr>
      <w:tr w:rsidR="00F022FE" w:rsidRPr="00F022FE" w:rsidTr="00F022FE">
        <w:trPr>
          <w:trHeight w:val="23"/>
          <w:jc w:val="center"/>
        </w:trPr>
        <w:tc>
          <w:tcPr>
            <w:tcW w:w="281" w:type="pct"/>
            <w:vAlign w:val="center"/>
          </w:tcPr>
          <w:p w:rsidR="00F022FE" w:rsidRPr="00F022FE" w:rsidRDefault="00F022FE" w:rsidP="00F022FE">
            <w:pPr>
              <w:jc w:val="both"/>
              <w:rPr>
                <w:rFonts w:ascii="Times New Roman" w:hAnsi="Times New Roman" w:cs="Times New Roman"/>
                <w:b/>
                <w:iCs/>
                <w:sz w:val="24"/>
                <w:szCs w:val="24"/>
              </w:rPr>
            </w:pPr>
            <w:r w:rsidRPr="00F022FE">
              <w:rPr>
                <w:rFonts w:ascii="Times New Roman" w:hAnsi="Times New Roman" w:cs="Times New Roman"/>
                <w:b/>
                <w:iCs/>
                <w:sz w:val="24"/>
                <w:szCs w:val="24"/>
              </w:rPr>
              <w:t>20.</w:t>
            </w:r>
          </w:p>
        </w:tc>
        <w:tc>
          <w:tcPr>
            <w:tcW w:w="898"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Новоржевский район, д. Жадрицы</w:t>
            </w:r>
          </w:p>
        </w:tc>
        <w:tc>
          <w:tcPr>
            <w:tcW w:w="1064"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Луга 1</w:t>
            </w:r>
          </w:p>
        </w:tc>
        <w:tc>
          <w:tcPr>
            <w:tcW w:w="509"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дрова</w:t>
            </w:r>
          </w:p>
        </w:tc>
        <w:tc>
          <w:tcPr>
            <w:tcW w:w="740"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0,5</w:t>
            </w:r>
          </w:p>
        </w:tc>
        <w:tc>
          <w:tcPr>
            <w:tcW w:w="485" w:type="pct"/>
            <w:vAlign w:val="center"/>
          </w:tcPr>
          <w:p w:rsidR="00F022FE" w:rsidRPr="00F022FE" w:rsidRDefault="00F022FE" w:rsidP="00F022FE">
            <w:pPr>
              <w:jc w:val="both"/>
              <w:rPr>
                <w:rFonts w:ascii="Times New Roman" w:hAnsi="Times New Roman" w:cs="Times New Roman"/>
                <w:bCs/>
                <w:iCs/>
                <w:sz w:val="24"/>
                <w:szCs w:val="24"/>
              </w:rPr>
            </w:pPr>
          </w:p>
        </w:tc>
        <w:tc>
          <w:tcPr>
            <w:tcW w:w="1023" w:type="pct"/>
            <w:vAlign w:val="center"/>
          </w:tcPr>
          <w:p w:rsidR="00F022FE" w:rsidRPr="00F022FE" w:rsidRDefault="00F022FE" w:rsidP="00F022FE">
            <w:pPr>
              <w:jc w:val="both"/>
              <w:rPr>
                <w:rFonts w:ascii="Times New Roman" w:hAnsi="Times New Roman" w:cs="Times New Roman"/>
                <w:bCs/>
                <w:iCs/>
                <w:sz w:val="24"/>
                <w:szCs w:val="24"/>
              </w:rPr>
            </w:pPr>
            <w:r w:rsidRPr="00F022FE">
              <w:rPr>
                <w:rFonts w:ascii="Times New Roman" w:hAnsi="Times New Roman" w:cs="Times New Roman"/>
                <w:bCs/>
                <w:iCs/>
                <w:sz w:val="24"/>
                <w:szCs w:val="24"/>
              </w:rPr>
              <w:t>1.Здание школы»</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56 - Характеристика теплоэнергетического оборудования котельных и топочных муниципального образования</w:t>
      </w:r>
    </w:p>
    <w:tbl>
      <w:tblPr>
        <w:tblW w:w="5000" w:type="pct"/>
        <w:jc w:val="center"/>
        <w:tblLook w:val="04A0" w:firstRow="1" w:lastRow="0" w:firstColumn="1" w:lastColumn="0" w:noHBand="0" w:noVBand="1"/>
      </w:tblPr>
      <w:tblGrid>
        <w:gridCol w:w="1389"/>
        <w:gridCol w:w="1112"/>
        <w:gridCol w:w="1463"/>
        <w:gridCol w:w="1489"/>
        <w:gridCol w:w="1520"/>
        <w:gridCol w:w="837"/>
        <w:gridCol w:w="697"/>
        <w:gridCol w:w="922"/>
      </w:tblGrid>
      <w:tr w:rsidR="00F022FE" w:rsidRPr="00F022FE" w:rsidTr="00F022FE">
        <w:trPr>
          <w:trHeight w:val="23"/>
          <w:tblHeader/>
          <w:jc w:val="center"/>
        </w:trPr>
        <w:tc>
          <w:tcPr>
            <w:tcW w:w="1208"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Адрес теплоис</w:t>
            </w:r>
            <w:r w:rsidRPr="00F022FE">
              <w:rPr>
                <w:rFonts w:ascii="Times New Roman" w:hAnsi="Times New Roman" w:cs="Times New Roman"/>
                <w:b/>
                <w:sz w:val="24"/>
                <w:szCs w:val="24"/>
              </w:rPr>
              <w:softHyphen/>
              <w:t>точников</w:t>
            </w:r>
          </w:p>
        </w:tc>
        <w:tc>
          <w:tcPr>
            <w:tcW w:w="556"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Год ввода в эксплуата</w:t>
            </w:r>
            <w:r w:rsidRPr="00F022FE">
              <w:rPr>
                <w:rFonts w:ascii="Times New Roman" w:hAnsi="Times New Roman" w:cs="Times New Roman"/>
                <w:b/>
                <w:sz w:val="24"/>
                <w:szCs w:val="24"/>
              </w:rPr>
              <w:softHyphen/>
              <w:t>цию</w:t>
            </w:r>
          </w:p>
        </w:tc>
        <w:tc>
          <w:tcPr>
            <w:tcW w:w="493"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Вид топлива</w:t>
            </w:r>
          </w:p>
        </w:tc>
        <w:tc>
          <w:tcPr>
            <w:tcW w:w="649"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Установленная мощность, Гкал/час</w:t>
            </w:r>
          </w:p>
        </w:tc>
        <w:tc>
          <w:tcPr>
            <w:tcW w:w="707" w:type="pct"/>
            <w:vMerge w:val="restart"/>
            <w:tcBorders>
              <w:top w:val="single" w:sz="4" w:space="0" w:color="auto"/>
              <w:left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Протяженность</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тепл. сетей (м)</w:t>
            </w:r>
          </w:p>
        </w:tc>
        <w:tc>
          <w:tcPr>
            <w:tcW w:w="138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Кол-во под</w:t>
            </w:r>
            <w:r w:rsidRPr="00F022FE">
              <w:rPr>
                <w:rFonts w:ascii="Times New Roman" w:hAnsi="Times New Roman" w:cs="Times New Roman"/>
                <w:b/>
                <w:sz w:val="24"/>
                <w:szCs w:val="24"/>
              </w:rPr>
              <w:softHyphen/>
              <w:t>ключенных объектов</w:t>
            </w:r>
          </w:p>
        </w:tc>
      </w:tr>
      <w:tr w:rsidR="00F022FE" w:rsidRPr="00F022FE" w:rsidTr="00F022FE">
        <w:trPr>
          <w:trHeight w:val="23"/>
          <w:tblHeader/>
          <w:jc w:val="center"/>
        </w:trPr>
        <w:tc>
          <w:tcPr>
            <w:tcW w:w="1208"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556"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493"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649"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707" w:type="pct"/>
            <w:vMerge/>
            <w:tcBorders>
              <w:left w:val="single" w:sz="4" w:space="0" w:color="auto"/>
              <w:bottom w:val="single" w:sz="4" w:space="0" w:color="auto"/>
              <w:right w:val="single" w:sz="4" w:space="0" w:color="auto"/>
            </w:tcBorders>
            <w:shd w:val="clear" w:color="auto" w:fill="B8CCE4"/>
            <w:vAlign w:val="center"/>
          </w:tcPr>
          <w:p w:rsidR="00F022FE" w:rsidRPr="00F022FE" w:rsidRDefault="00F022FE" w:rsidP="00F022FE">
            <w:pPr>
              <w:spacing w:after="0" w:line="240" w:lineRule="auto"/>
              <w:jc w:val="both"/>
              <w:rPr>
                <w:rFonts w:ascii="Times New Roman" w:hAnsi="Times New Roman" w:cs="Times New Roman"/>
                <w:b/>
                <w:sz w:val="24"/>
                <w:szCs w:val="24"/>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Жилых домов</w:t>
            </w:r>
          </w:p>
        </w:tc>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Соц. сфера</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Иные объекты</w:t>
            </w:r>
          </w:p>
        </w:tc>
      </w:tr>
      <w:tr w:rsidR="00F022FE" w:rsidRPr="00F022FE" w:rsidTr="00F022FE">
        <w:trPr>
          <w:trHeight w:val="23"/>
          <w:jc w:val="center"/>
        </w:trPr>
        <w:tc>
          <w:tcPr>
            <w:tcW w:w="1208"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Выбор</w:t>
            </w:r>
          </w:p>
        </w:tc>
        <w:tc>
          <w:tcPr>
            <w:tcW w:w="556"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1978</w:t>
            </w:r>
          </w:p>
        </w:tc>
        <w:tc>
          <w:tcPr>
            <w:tcW w:w="493"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1,8</w:t>
            </w:r>
          </w:p>
        </w:tc>
        <w:tc>
          <w:tcPr>
            <w:tcW w:w="707"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251</w:t>
            </w:r>
          </w:p>
        </w:tc>
        <w:tc>
          <w:tcPr>
            <w:tcW w:w="450"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308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143</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1978</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268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д.52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1999</w:t>
            </w:r>
          </w:p>
        </w:tc>
        <w:tc>
          <w:tcPr>
            <w:tcW w:w="3237" w:type="pct"/>
            <w:gridSpan w:val="6"/>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законсервирована</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д.72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2,1</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694,8</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Германа, д.65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1965</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534</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г.Новоржев, ул. </w:t>
            </w:r>
            <w:r w:rsidRPr="00F022FE">
              <w:rPr>
                <w:rFonts w:ascii="Times New Roman" w:hAnsi="Times New Roman" w:cs="Times New Roman"/>
                <w:sz w:val="24"/>
                <w:szCs w:val="24"/>
              </w:rPr>
              <w:lastRenderedPageBreak/>
              <w:t>Германа, д.55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1969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112</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г.Новоржев, ул. Медицинская, д.2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1953</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499</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ул.К.Маркса, д.44</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2002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6,5</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Орша, ул. Мелиораторов</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1979</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467</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Дубровы</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1990</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ул.Набережная</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1960</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57</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1,2</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 Новоржев, ул. Пушкина, д. 125а</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Электроэнергия</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 72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0,8</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Карла Маркса, д. 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0,4</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ул.Некрасова, д.35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1,6</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г.Новоржев, ул. Пушкина, д.45</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д.37</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г.Новоржев, ул. Пушкина, д.132</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1952</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Дрова/уголь</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0,3</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1208"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Новоржевский район, д. Жадрицы</w:t>
            </w:r>
          </w:p>
        </w:tc>
        <w:tc>
          <w:tcPr>
            <w:tcW w:w="55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2013</w:t>
            </w:r>
          </w:p>
        </w:tc>
        <w:tc>
          <w:tcPr>
            <w:tcW w:w="493"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дрова</w:t>
            </w:r>
          </w:p>
        </w:tc>
        <w:tc>
          <w:tcPr>
            <w:tcW w:w="649"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0,5</w:t>
            </w:r>
          </w:p>
        </w:tc>
        <w:tc>
          <w:tcPr>
            <w:tcW w:w="707"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50"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412"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w:t>
            </w:r>
          </w:p>
        </w:tc>
        <w:tc>
          <w:tcPr>
            <w:tcW w:w="526" w:type="pct"/>
            <w:tcBorders>
              <w:top w:val="single" w:sz="4" w:space="0" w:color="auto"/>
              <w:left w:val="single" w:sz="4" w:space="0" w:color="auto"/>
              <w:bottom w:val="single" w:sz="4" w:space="0" w:color="auto"/>
              <w:right w:val="single" w:sz="4" w:space="0" w:color="auto"/>
            </w:tcBorders>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57 - Потребность муниципального образования в электроэнергии и тепле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95"/>
        <w:gridCol w:w="2640"/>
        <w:gridCol w:w="2134"/>
      </w:tblGrid>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Потребность в:</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 изм.</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Значение</w:t>
            </w: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электроэнергии</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тыс.кВт·ч/ год</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Расчетные расходы тепловой энергии на хозяйственные и коммунальные нужды населения и на нужды промышленных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За 2021 год отпущено: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населению – 1410,68 Гкал;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бюджетные организации – 2808,87 Гкал;</w:t>
            </w:r>
          </w:p>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прочие организации – 337,09 Гкал;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собственные нужды – 251,2 Гкал.</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sz w:val="24"/>
                <w:szCs w:val="24"/>
              </w:rPr>
              <w:t>из них на коммунально-бытовые нужды</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 том числе в сельских поселениях</w:t>
            </w:r>
          </w:p>
        </w:tc>
        <w:tc>
          <w:tcPr>
            <w:tcW w:w="1424" w:type="pct"/>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w:t>
            </w:r>
          </w:p>
        </w:tc>
        <w:tc>
          <w:tcPr>
            <w:tcW w:w="1151" w:type="pct"/>
          </w:tcPr>
          <w:p w:rsidR="00F022FE" w:rsidRPr="00F022FE" w:rsidRDefault="00F022FE" w:rsidP="00F022FE">
            <w:pPr>
              <w:spacing w:after="0" w:line="240" w:lineRule="auto"/>
              <w:jc w:val="both"/>
              <w:rPr>
                <w:rFonts w:ascii="Times New Roman" w:hAnsi="Times New Roman" w:cs="Times New Roman"/>
                <w:b/>
                <w:bCs/>
                <w:sz w:val="24"/>
                <w:szCs w:val="24"/>
              </w:rPr>
            </w:pPr>
          </w:p>
        </w:tc>
      </w:tr>
      <w:tr w:rsidR="00F022FE" w:rsidRPr="00F022FE" w:rsidTr="00F022FE">
        <w:trPr>
          <w:trHeight w:val="284"/>
        </w:trPr>
        <w:tc>
          <w:tcPr>
            <w:tcW w:w="2425"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тепле</w:t>
            </w:r>
          </w:p>
        </w:tc>
        <w:tc>
          <w:tcPr>
            <w:tcW w:w="1424"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 Гкал/год</w:t>
            </w:r>
          </w:p>
        </w:tc>
        <w:tc>
          <w:tcPr>
            <w:tcW w:w="1151" w:type="pct"/>
            <w:shd w:val="clear" w:color="auto" w:fill="auto"/>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5,3</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Проектные предложения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обеспечения надежного теплоснабжения необходима реконструкция существующих источников теплоты и техническое перевооружение всех элементов теплового хозяйства.</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58 – Расход тепла МВт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995"/>
        <w:gridCol w:w="2191"/>
        <w:gridCol w:w="2105"/>
      </w:tblGrid>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Потребитель</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Население</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тысяч</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Жилищный фонд</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тыс. м2</w:t>
            </w:r>
          </w:p>
        </w:tc>
        <w:tc>
          <w:tcPr>
            <w:tcW w:w="1115"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Расход тепла МВт</w:t>
            </w:r>
          </w:p>
        </w:tc>
      </w:tr>
      <w:tr w:rsidR="00F022FE" w:rsidRPr="00F022FE" w:rsidTr="00F022FE">
        <w:trPr>
          <w:trHeight w:val="23"/>
          <w:jc w:val="center"/>
        </w:trPr>
        <w:tc>
          <w:tcPr>
            <w:tcW w:w="5000" w:type="pct"/>
            <w:gridSpan w:val="4"/>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Расчётный срок</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Новое строительство</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0,6/0.6</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29,4/21.5</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4/3</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Сохраняемый фонд</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6,9/2.8</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338,1/100.9</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36/12</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Всего по району</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7,5/3.4</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367,5/122.4</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40/15</w:t>
            </w:r>
          </w:p>
        </w:tc>
      </w:tr>
      <w:tr w:rsidR="00F022FE" w:rsidRPr="00F022FE" w:rsidTr="00F022FE">
        <w:trPr>
          <w:trHeight w:val="23"/>
          <w:jc w:val="center"/>
        </w:trPr>
        <w:tc>
          <w:tcPr>
            <w:tcW w:w="1664"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Всего Гкал/час</w:t>
            </w:r>
          </w:p>
        </w:tc>
        <w:tc>
          <w:tcPr>
            <w:tcW w:w="1058"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c>
          <w:tcPr>
            <w:tcW w:w="1162" w:type="pct"/>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c>
          <w:tcPr>
            <w:tcW w:w="1115"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34,5/12,9</w:t>
            </w:r>
          </w:p>
        </w:tc>
      </w:tr>
    </w:tbl>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Примечание: под чертой - показатели для города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Покрытие тепловых потребностей предусматривается в зависимости от дислокации участков нового строительства: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малоэтажной застройки - от существующих реконструируемых котельных;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индивидуальной застройки - от автономных источников теплоты (АИТ);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для отдельных учреждений социального значения – от локальных котельных.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обеспечения бесперебойной и надёжной работы системы теплоснабжения необходима поэтапная реконструкции и модернизация всех элементов системы теплоснабжения и проведение ряда мероприятий: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техническое переоснащение существующих котельных с установкой эффективного оборудования для перспективного перевода на газ г. Новоржев, д. Орша;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использование для децентрализованного теплоснабжения автономных индустриальных 2-х функциональных теплогенераторов, обеспечивающих потребности отопления и горячего водоснабжения потребителей, с возможностью перевода на природный газ г. Новоржев, д. Орша.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 перевод источников теплоты индивидуального жилищного строительства на природный газ г. Новоржев, населенные пункты района; </w:t>
      </w:r>
    </w:p>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внедрение энергосберегающих технологий, отвечающих современным требованиям к оборудованию и КИП для обеспечения качественного регулирования потребления тепловой энергии</w:t>
      </w:r>
      <w:r>
        <w:rPr>
          <w:rFonts w:ascii="Times New Roman" w:hAnsi="Times New Roman" w:cs="Times New Roman"/>
          <w:sz w:val="24"/>
          <w:szCs w:val="24"/>
        </w:rPr>
        <w:t>.</w:t>
      </w:r>
    </w:p>
    <w:p w:rsid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0" w:name="_Toc216434275"/>
      <w:r w:rsidRPr="00F022FE">
        <w:rPr>
          <w:rFonts w:ascii="Times New Roman" w:hAnsi="Times New Roman" w:cs="Times New Roman"/>
          <w:b/>
          <w:bCs/>
          <w:sz w:val="24"/>
          <w:szCs w:val="24"/>
        </w:rPr>
        <w:t>3.11.4. Водоснабжение и водоотведение</w:t>
      </w:r>
      <w:bookmarkEnd w:id="100"/>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Водоснабжение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хозяйственно-питьевого водоснабжения в районе используются подземные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Извлечение подземных вод осуществляется артезианскими скважинами и шахтными колодцами.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Количество артезианских скважин в районе 61 шт., в том числе: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г. Новоржев – 10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«Выборская волость» - 23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«Вехнянская волость» - 10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СП «Новоржевская волость» - 18 шт.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Первый пояс ЗСО имеется на всех водозаборах.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Часть артезианских скважин и водопроводных сетей имеют длительный срок эксплуатации и требуют реконструкция.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59 - Система водоснабжения (водозаборы, скважины, водонапорные башни и т.д.)</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1"/>
        <w:gridCol w:w="3408"/>
        <w:gridCol w:w="3530"/>
        <w:gridCol w:w="1610"/>
      </w:tblGrid>
      <w:tr w:rsidR="00F022FE" w:rsidRPr="00F022FE" w:rsidTr="00F022FE">
        <w:trPr>
          <w:trHeight w:val="23"/>
          <w:tblHeader/>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п/п</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элемента системы</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Адрес</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Год ввода</w:t>
            </w:r>
          </w:p>
        </w:tc>
      </w:tr>
      <w:tr w:rsidR="00F022FE" w:rsidRPr="00F022FE" w:rsidTr="00F022FE">
        <w:trPr>
          <w:trHeight w:val="23"/>
          <w:tblHeader/>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г. Новоржев</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686 (НСШ)</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ул.Германа, д. 72</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712 (филиал межрайонной больницы)</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Медицинская, д.2</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3577 (администрация)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Германа, д. 55</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1323 (контора)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Зои Брелауск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3667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 Рабоче-Крестьянская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 2310 </w:t>
            </w:r>
            <w:r w:rsidRPr="00F022FE">
              <w:rPr>
                <w:rFonts w:ascii="Times New Roman" w:hAnsi="Times New Roman" w:cs="Times New Roman"/>
                <w:bCs/>
                <w:sz w:val="24"/>
                <w:szCs w:val="24"/>
              </w:rPr>
              <w:lastRenderedPageBreak/>
              <w:t>(телецентр)</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г.Новоржев, ул. Германа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720 (льнозавод)</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ул.Пушкина (льнозавод)</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616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ул.Набережная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 619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ул.Медицинская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617 (РАЙПО)</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г.Новоржев, ул.Рабоче-Крестьянская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1958</w:t>
            </w: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b/>
                <w:sz w:val="24"/>
                <w:szCs w:val="24"/>
              </w:rPr>
              <w:t>СП «Выборская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 (центральная)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 (мастерские)</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 (подстанция)</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 (школа)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Выбор</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1344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Стехово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д.Губкино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4296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д.Вишлево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1985</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№4442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д.Крюково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№1344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№3983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3189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д.Стехново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3340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д.Ругодево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2936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д.Нешено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3327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Никулино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2331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д.Посадниково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3103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д.Речки</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д.Воробьево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4709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д.Заречье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1990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2085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д.Заречье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3201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1972</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3278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4800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д.Веска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1991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2837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д.Глухово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СП «Вехнянская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lastRenderedPageBreak/>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3659</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д.Лукино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Вехно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3646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д.Алтун</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4457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д.Литово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525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Задолжье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1957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Перхово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3447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Орша, ул. Новая</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 xml:space="preserve">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Орша, ул. Мелиораторов</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4515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Булохово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5000" w:type="pct"/>
            <w:gridSpan w:val="4"/>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sz w:val="24"/>
                <w:szCs w:val="24"/>
              </w:rPr>
              <w:t>СП «Новоржевская волость»</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д.Макарово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Макарово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2086</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д.Михалкино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3047</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д.Барута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1984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д.Маньково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1966</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3044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д.Заборье</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Гривино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4204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(новый поселок)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1984</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9.</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2814</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(старый поселок)</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10.</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27118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(молокозавод)</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11.</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3610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д.Жадрицы (пыжово)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12.</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2598</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д.Рудняха</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13.</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2592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д.Агофоново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1969</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14.</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3105</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д.Жуково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15.</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4150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д.Дубровы</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1983</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16.</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2312</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д.Дубровы</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1967</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17.</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2813</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 Пришвино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1970</w:t>
            </w:r>
          </w:p>
        </w:tc>
      </w:tr>
      <w:tr w:rsidR="00F022FE" w:rsidRPr="00F022FE" w:rsidTr="00F022FE">
        <w:trPr>
          <w:trHeight w:val="23"/>
          <w:jc w:val="center"/>
        </w:trPr>
        <w:tc>
          <w:tcPr>
            <w:tcW w:w="46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18.</w:t>
            </w:r>
          </w:p>
        </w:tc>
        <w:tc>
          <w:tcPr>
            <w:tcW w:w="1807"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Артскважина № 3050</w:t>
            </w:r>
          </w:p>
        </w:tc>
        <w:tc>
          <w:tcPr>
            <w:tcW w:w="1872"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Новоржевский район, д.Щербово</w:t>
            </w:r>
          </w:p>
        </w:tc>
        <w:tc>
          <w:tcPr>
            <w:tcW w:w="854" w:type="pct"/>
            <w:tcBorders>
              <w:tl2br w:val="nil"/>
              <w:tr2bl w:val="nil"/>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1971</w:t>
            </w:r>
          </w:p>
        </w:tc>
      </w:tr>
    </w:tbl>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Глубина скважин колеблется: минимальная -41 м, максимальная -110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Диаметр обсадной колонны 180-200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Диаметр водоподъемной трубы - 50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Производительность большинства скважин 6,5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/час, в отдельных случаях до 10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/час.</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xml:space="preserve">Таблица 60 - Характеристика населения по степени благоустроенности жилого фонда </w:t>
      </w:r>
    </w:p>
    <w:tbl>
      <w:tblPr>
        <w:tblW w:w="5000" w:type="pct"/>
        <w:jc w:val="center"/>
        <w:tblCellMar>
          <w:left w:w="40" w:type="dxa"/>
          <w:right w:w="40" w:type="dxa"/>
        </w:tblCellMar>
        <w:tblLook w:val="04A0" w:firstRow="1" w:lastRow="0" w:firstColumn="1" w:lastColumn="0" w:noHBand="0" w:noVBand="1"/>
      </w:tblPr>
      <w:tblGrid>
        <w:gridCol w:w="462"/>
        <w:gridCol w:w="3181"/>
        <w:gridCol w:w="1413"/>
        <w:gridCol w:w="1413"/>
        <w:gridCol w:w="1413"/>
        <w:gridCol w:w="1411"/>
      </w:tblGrid>
      <w:tr w:rsidR="00F022FE" w:rsidRPr="00F022FE" w:rsidTr="00F022FE">
        <w:trPr>
          <w:trHeight w:val="23"/>
          <w:tblHeader/>
          <w:jc w:val="center"/>
        </w:trPr>
        <w:tc>
          <w:tcPr>
            <w:tcW w:w="249" w:type="pct"/>
            <w:vMerge w:val="restart"/>
            <w:tcBorders>
              <w:top w:val="single" w:sz="6" w:space="0" w:color="auto"/>
              <w:left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 п/п</w:t>
            </w:r>
          </w:p>
        </w:tc>
        <w:tc>
          <w:tcPr>
            <w:tcW w:w="1712" w:type="pct"/>
            <w:vMerge w:val="restart"/>
            <w:tcBorders>
              <w:top w:val="single" w:sz="6" w:space="0" w:color="auto"/>
              <w:left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потребителей</w:t>
            </w:r>
          </w:p>
        </w:tc>
        <w:tc>
          <w:tcPr>
            <w:tcW w:w="15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Секционная застройка</w:t>
            </w:r>
          </w:p>
        </w:tc>
        <w:tc>
          <w:tcPr>
            <w:tcW w:w="15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Индивидуальная застройка</w:t>
            </w:r>
          </w:p>
        </w:tc>
      </w:tr>
      <w:tr w:rsidR="00F022FE" w:rsidRPr="00F022FE" w:rsidTr="00F022FE">
        <w:trPr>
          <w:trHeight w:val="23"/>
          <w:tblHeader/>
          <w:jc w:val="center"/>
        </w:trPr>
        <w:tc>
          <w:tcPr>
            <w:tcW w:w="249" w:type="pct"/>
            <w:vMerge/>
            <w:tcBorders>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1712" w:type="pct"/>
            <w:vMerge/>
            <w:tcBorders>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квартир</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домов</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Кол-во</w:t>
            </w: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человек</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1</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Пользование водой из водоразборных колонок</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343</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538</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952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693</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Водопровод в доме, без канализации</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592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991</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1462</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2285</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3</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оборудованные внутренним водопроводом и канализацией без ванн</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64</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134</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4</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оборудованные внутренним водопроводом и канализацией с ванными и местными водонагревателями</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220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453</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r w:rsidR="00F022FE" w:rsidRPr="00F022FE" w:rsidTr="00F022FE">
        <w:trPr>
          <w:trHeight w:val="23"/>
          <w:jc w:val="center"/>
        </w:trPr>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5</w:t>
            </w:r>
          </w:p>
        </w:tc>
        <w:tc>
          <w:tcPr>
            <w:tcW w:w="1712"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Жилые дома с водопроводом, канализацией и центральным горячим водоснабжением</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c>
          <w:tcPr>
            <w:tcW w:w="760" w:type="pct"/>
            <w:tcBorders>
              <w:top w:val="single" w:sz="6" w:space="0" w:color="auto"/>
              <w:left w:val="single" w:sz="6" w:space="0" w:color="auto"/>
              <w:bottom w:val="single" w:sz="6" w:space="0" w:color="auto"/>
              <w:right w:val="single" w:sz="6" w:space="0" w:color="auto"/>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0</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61 - По сведениям, предоставленным Федеральной службой государственной статистики</w:t>
      </w:r>
    </w:p>
    <w:tbl>
      <w:tblPr>
        <w:tblW w:w="5000" w:type="pct"/>
        <w:jc w:val="center"/>
        <w:tblLook w:val="04A0" w:firstRow="1" w:lastRow="0" w:firstColumn="1" w:lastColumn="0" w:noHBand="0" w:noVBand="1"/>
      </w:tblPr>
      <w:tblGrid>
        <w:gridCol w:w="5186"/>
        <w:gridCol w:w="2282"/>
        <w:gridCol w:w="1961"/>
      </w:tblGrid>
      <w:tr w:rsidR="00F022FE" w:rsidRPr="00F022FE" w:rsidTr="00F022FE">
        <w:trPr>
          <w:trHeight w:val="23"/>
          <w:tblHeader/>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Показатели</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Ед.изм.</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2022 г.</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водопроводной сети</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Уличная водопроводная сеть</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78200</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водопроводной сети, нуждающейся в замене</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Уличная водопроводная сеть, нуждающаяся в замене</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39100</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Одиночное протяжение уличной водопроводной сети, которая заменена и отремонтирована за отчетный год</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r>
      <w:tr w:rsidR="00F022FE" w:rsidRPr="00F022FE" w:rsidTr="00F022FE">
        <w:trPr>
          <w:trHeight w:val="23"/>
          <w:jc w:val="center"/>
        </w:trPr>
        <w:tc>
          <w:tcPr>
            <w:tcW w:w="27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населенных пунктов, не имеющих водопроводов (отдельных водопроводных сетей)</w:t>
            </w:r>
          </w:p>
        </w:tc>
        <w:tc>
          <w:tcPr>
            <w:tcW w:w="12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единица</w:t>
            </w:r>
          </w:p>
        </w:tc>
        <w:tc>
          <w:tcPr>
            <w:tcW w:w="104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402</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Расчетные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Норматив потребления воды в жилом фонде (куб.м/чел):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 ванной – 4,0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ванны – 2,1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из колонки – 1,2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При расчете годового водопотребления в Проекте учитывается укрупненный показатель - 4,0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/чел.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Учитывая, что в Новоржевском районе на расчетный срок планируется стабилизационный сценарий развития, годовое водопотребление в районе может составить 10707,6 м</w:t>
      </w:r>
      <w:r w:rsidRPr="00F022FE">
        <w:rPr>
          <w:rFonts w:ascii="Times New Roman" w:hAnsi="Times New Roman" w:cs="Times New Roman"/>
          <w:sz w:val="24"/>
          <w:szCs w:val="24"/>
          <w:vertAlign w:val="superscript"/>
        </w:rPr>
        <w:t>3</w:t>
      </w:r>
      <w:r w:rsidRPr="00F022FE">
        <w:rPr>
          <w:rFonts w:ascii="Times New Roman" w:hAnsi="Times New Roman" w:cs="Times New Roman"/>
          <w:sz w:val="24"/>
          <w:szCs w:val="24"/>
        </w:rPr>
        <w:t>, или 10707,6 тыс. 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Техническое состояние существующих сетей и сооружений водопровода, ввиду их длительной эксплуатации, снижает уровень подготовки воды питьевого качества. Требуется ремонт и реконструкция.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Вода должна отвечать требованиям норм централизованных и децентрализованных систем питьевого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решения проблемы обеспечения населения качественной питьевой водой необходимо следующее: ремонт артезианских скважин, реконструкция и строительство подземных водопроводных сетей, замена водонапорных башен, оборудованных системой автоматики, оснащение всех источников водоснабжения приборами учета расхода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целях улучшения хозяйственно-питьевого водоснабжения района необходимо: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провести ремонт и реконструкцию существующих скважин, сетей, водонапорных башен г. Новоржев, д. Орша, д. Выбор, д. Вехно;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построить водопроводные сети и сооружения для нового жилищного строительства д. Макарово, ул. Барановская;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разработать проекты и обустроить зоны санитарной охраны водозаборов и водопроводных сооружений;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отремонтировать колодцы общественного пользования.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развитие системы водоснабжения в поселении в соответствии с объемами нового строительства объектов жилья и соцкультбыта.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Водоотведение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Норматив водоотведения в жилом фонде: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 ванной – 4,0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ванны – 2,1</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без водопровода (при водопотреблении из колонки) – 1,2.</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момент разработки Проекта централизованные системы канализации в населенных пунктах Новоржевского района отсутствуют. Сточные воды собираются в выгреба или септики, либо отводятся канализационными сетями со сбросом без очистки и обеззараживания.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Таблица 62 - По сведениям, предоставленным Федеральной службой государственной статистики</w:t>
      </w:r>
    </w:p>
    <w:tbl>
      <w:tblPr>
        <w:tblW w:w="5000" w:type="pct"/>
        <w:jc w:val="center"/>
        <w:tblLook w:val="04A0" w:firstRow="1" w:lastRow="0" w:firstColumn="1" w:lastColumn="0" w:noHBand="0" w:noVBand="1"/>
      </w:tblPr>
      <w:tblGrid>
        <w:gridCol w:w="5588"/>
        <w:gridCol w:w="2125"/>
        <w:gridCol w:w="1716"/>
      </w:tblGrid>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Показатели</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Ед.изм.</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2020 г.</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канализационной сети</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Уличная канализационная сеть</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260</w:t>
            </w:r>
            <w:r w:rsidRPr="00F022FE">
              <w:rPr>
                <w:rFonts w:ascii="Times New Roman" w:hAnsi="Times New Roman" w:cs="Times New Roman"/>
                <w:sz w:val="24"/>
                <w:szCs w:val="24"/>
                <w:lang w:val="en-US"/>
              </w:rPr>
              <w:t>0</w:t>
            </w:r>
          </w:p>
        </w:tc>
      </w:tr>
      <w:tr w:rsidR="00F022FE" w:rsidRPr="00F022FE" w:rsidTr="00F022FE">
        <w:trPr>
          <w:trHeight w:val="23"/>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Одиночное протяжение уличной канализационной сети, нуждающейся в замене</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Уличная канализационная сеть, нуждающаяся в замене</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24</w:t>
            </w:r>
            <w:r w:rsidRPr="00F022FE">
              <w:rPr>
                <w:rFonts w:ascii="Times New Roman" w:hAnsi="Times New Roman" w:cs="Times New Roman"/>
                <w:sz w:val="24"/>
                <w:szCs w:val="24"/>
                <w:lang w:val="en-US"/>
              </w:rPr>
              <w:t>00</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Одиночное протяжение уличной канализационной, которая заменена и отремонтирована за отчетный год</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lang w:val="en-US"/>
              </w:rPr>
            </w:pPr>
            <w:r w:rsidRPr="00F022FE">
              <w:rPr>
                <w:rFonts w:ascii="Times New Roman" w:hAnsi="Times New Roman" w:cs="Times New Roman"/>
                <w:sz w:val="24"/>
                <w:szCs w:val="24"/>
                <w:lang w:val="en-US"/>
              </w:rPr>
              <w:t>метр</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w:t>
            </w:r>
          </w:p>
        </w:tc>
      </w:tr>
      <w:tr w:rsidR="00F022FE" w:rsidRPr="00F022FE" w:rsidTr="00F022FE">
        <w:trPr>
          <w:trHeight w:val="23"/>
          <w:jc w:val="center"/>
        </w:trPr>
        <w:tc>
          <w:tcPr>
            <w:tcW w:w="2963"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населенных пунктов, не имеющих канализаций (отдельных канализационных сетей)</w:t>
            </w:r>
          </w:p>
        </w:tc>
        <w:tc>
          <w:tcPr>
            <w:tcW w:w="1127"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lang w:val="en-US"/>
              </w:rPr>
              <w:t>единица</w:t>
            </w:r>
          </w:p>
        </w:tc>
        <w:tc>
          <w:tcPr>
            <w:tcW w:w="910" w:type="pct"/>
            <w:tcBorders>
              <w:top w:val="single" w:sz="8" w:space="0" w:color="000000"/>
              <w:left w:val="single" w:sz="8" w:space="0" w:color="000000"/>
              <w:bottom w:val="single" w:sz="8" w:space="0" w:color="000000"/>
              <w:right w:val="single" w:sz="8"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437</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настоящее время муниципальное образование "Новоржевский район" имеет довольно низкую степень благоустройства в области водоотведения. Как таковой централизованной системы канализации осуществляющих сбор водопроводных стоков от жилого сектора на территории района нет.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Отсутствие систем сбора и очистки поверхностного стока в жилых зонах МО "Новоржевский район" способствует загрязнению водных объектов, грунтовых вод и грунтов, а также частичному подтоплению территории.</w:t>
      </w:r>
    </w:p>
    <w:p w:rsidR="00F022FE" w:rsidRPr="00F022FE" w:rsidRDefault="00F022FE" w:rsidP="00F022FE">
      <w:pPr>
        <w:spacing w:after="0" w:line="240" w:lineRule="auto"/>
        <w:jc w:val="both"/>
        <w:rPr>
          <w:rFonts w:ascii="Times New Roman" w:hAnsi="Times New Roman" w:cs="Times New Roman"/>
          <w:sz w:val="24"/>
          <w:szCs w:val="24"/>
        </w:rPr>
      </w:pPr>
      <w:bookmarkStart w:id="101" w:name="_Toc167275033"/>
      <w:bookmarkStart w:id="102" w:name="_Toc216772332"/>
      <w:r w:rsidRPr="00F022FE">
        <w:rPr>
          <w:rFonts w:ascii="Times New Roman" w:hAnsi="Times New Roman" w:cs="Times New Roman"/>
          <w:sz w:val="24"/>
          <w:szCs w:val="24"/>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Неучтенные расходы стоков предусмотрены в размере 10%.</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 целью улучшения экологической ситуации и повышению уровня благоустройства населения, необходимо: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построить канализационные очистные сооружения в г. Новоржеве;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осуществить строительство канализационных сетей в г. Новоржеве.</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3" w:name="_Toc216772335"/>
      <w:bookmarkStart w:id="104" w:name="_Toc216434276"/>
      <w:bookmarkEnd w:id="101"/>
      <w:bookmarkEnd w:id="102"/>
      <w:r w:rsidRPr="00F022FE">
        <w:rPr>
          <w:rFonts w:ascii="Times New Roman" w:hAnsi="Times New Roman" w:cs="Times New Roman"/>
          <w:b/>
          <w:bCs/>
          <w:sz w:val="24"/>
          <w:szCs w:val="24"/>
        </w:rPr>
        <w:t>3.11.5. Связь</w:t>
      </w:r>
      <w:bookmarkEnd w:id="103"/>
      <w:bookmarkEnd w:id="104"/>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Телефонизация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Население, предприятия, учреждения и организации Новоржевского района в целом обеспечены средствами телефонной связи общего пользования. Основным оператором этого вида связи является Псковский областной филиал ОАО «С-З Ростелеком».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Количество абонентов телефонной сети общего пользования района – 2803.</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района функционирует 14 АТС, из них одна координатной системы (д. Баруга), остальные – электронные.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Общая монтированная емкость АТС – 3622 номеров.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Техническое состояние оборудования АТС и линейные сооружения находятся в удовлетворительном состоянии.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Выход абонентов на международные и междугородные линии связи осуществляется по сети общего пользования.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Телефонная плотность на 100 человек: городского населения – 87,39 телефонных аппаратов, сельского – 51,23 телефонных аппаратов.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районе имеется 117 заявок на установку телефонов.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Практически на всей территории поселения имеется возможность пользования средствами мобильной (сотовой)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Развитие телефонной сети общего пользования в поселении должно вестись из условия 100% удовлетворения заявок на данный вид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Генеральным планом предусматривается численность населения поселения к расчетному сроку (2035г.) 7500 человек, в т.ч. на первую очередь до 8800 чел.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Емкость АТС для 100% обеспечения квартирного сектора, предприятий и организаций должна будет составлять к концу расчетного срока и на первую очередь в районе порядка 2500 - 3000 номеров, в том числе в городе Новоржеве – 1250 номеров и в сельской местности – 1750 номеров.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телефонизации поселения потребуется модернизация АТС с заменой координатной АТС на цифровую.</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Основой развития сетей связи будет являться переход на использование для связи между опорной и сельскими АТС волоконно-оптических кабелей. Это позволит в будущем производить неограниченное увеличение номерных емкостей любых АТС, а также оказывать доступ в сеть Интернет на высоких скоростях.</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Сотовая связь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Учитывая, что в поселении сотовой связью покрыта практически вся территория дальнейшее развитие данного вида связи должно развиваться по пути повышения качества предоставляемых услуг операторами и повышения конкурентности между операторами сотовой связи.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Радиофикация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Проводное вещание в поселении переводится на эфирное вещание.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xml:space="preserve">Переход на ЧМ вещание позволяет обеспечивать население полным комплексом информационных услуг, а также обеспечивать население своевременной информацией о возникновении чрезвычайных ситуаций.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Телевидение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Территория Новоржевского района находится в зоне уверенного приема 3-х радиотелевизионных станций: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Новоржев - 4 программы 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Дедовичи – 2 программы ТВ и 2 программы радиовещания;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РТС Глубокое – 2 программы радиовещания.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соответствии с системным проектом сети ЦТВ размещение технических средств планируется на существующей РТС г.Новоржев и на вновь строящейся РТС в д.Выбор Новоржевского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Почтовая связь</w:t>
      </w:r>
    </w:p>
    <w:p w:rsidR="00F022FE" w:rsidRPr="00F022FE" w:rsidRDefault="00F022FE" w:rsidP="00F022FE">
      <w:pPr>
        <w:spacing w:after="0" w:line="240" w:lineRule="auto"/>
        <w:jc w:val="both"/>
        <w:rPr>
          <w:rFonts w:ascii="Times New Roman" w:hAnsi="Times New Roman" w:cs="Times New Roman"/>
          <w:b/>
          <w:bCs/>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63 - Обеспечение населения почтовой связью</w:t>
      </w:r>
    </w:p>
    <w:tbl>
      <w:tblPr>
        <w:tblW w:w="5000" w:type="pct"/>
        <w:jc w:val="center"/>
        <w:tblLayout w:type="fixed"/>
        <w:tblLook w:val="04A0" w:firstRow="1" w:lastRow="0" w:firstColumn="1" w:lastColumn="0" w:noHBand="0" w:noVBand="1"/>
      </w:tblPr>
      <w:tblGrid>
        <w:gridCol w:w="2282"/>
        <w:gridCol w:w="1842"/>
        <w:gridCol w:w="2220"/>
        <w:gridCol w:w="3085"/>
      </w:tblGrid>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Наименование объек</w:t>
            </w:r>
            <w:r w:rsidRPr="00F022FE">
              <w:rPr>
                <w:rFonts w:ascii="Times New Roman" w:hAnsi="Times New Roman" w:cs="Times New Roman"/>
                <w:b/>
                <w:bCs/>
                <w:sz w:val="24"/>
                <w:szCs w:val="24"/>
              </w:rPr>
              <w:softHyphen/>
              <w:t>тов почтовой связи, адрес</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Принадлежность</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Оснащенность узла связи (ПКД)</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Населенные пункты, поселе</w:t>
            </w:r>
            <w:r w:rsidRPr="00F022FE">
              <w:rPr>
                <w:rFonts w:ascii="Times New Roman" w:hAnsi="Times New Roman" w:cs="Times New Roman"/>
                <w:b/>
                <w:bCs/>
                <w:sz w:val="24"/>
                <w:szCs w:val="24"/>
              </w:rPr>
              <w:softHyphen/>
              <w:t>ния, обслуживае</w:t>
            </w:r>
            <w:r w:rsidRPr="00F022FE">
              <w:rPr>
                <w:rFonts w:ascii="Times New Roman" w:hAnsi="Times New Roman" w:cs="Times New Roman"/>
                <w:b/>
                <w:bCs/>
                <w:sz w:val="24"/>
                <w:szCs w:val="24"/>
              </w:rPr>
              <w:softHyphen/>
              <w:t>мые узлом связи</w:t>
            </w:r>
          </w:p>
        </w:tc>
      </w:tr>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ОС Выбор, д.Выбор, ул.Советская, д.10, кв.7</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Почта России</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д.д.Деревицы, Дмитровка, Исаково, Себрово, Погорелово, Фатьяново, Басино,Рахнихино, Засухино, Речево, Бураки, Пестово, Филково, Селюгино, Дорохово, Кренево, Конохново, Молчаново, Амелино, Шикени, Огородниково, Подъелышево, Занеги, Станки, Карнышено, Карпилово, Яковлевское, Пыльниково, Савино, Байкино, Разбегаево, Кушино, Игнашево, Ширигино, Котово, Выбор</w:t>
            </w:r>
          </w:p>
        </w:tc>
      </w:tr>
      <w:tr w:rsidR="00F022FE" w:rsidRPr="00F022FE" w:rsidTr="00F022FE">
        <w:trPr>
          <w:trHeight w:val="23"/>
          <w:jc w:val="center"/>
        </w:trPr>
        <w:tc>
          <w:tcPr>
            <w:tcW w:w="12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ОС Стехново, д. Стехново, ул. Центральная,д.9</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Почта России</w:t>
            </w:r>
          </w:p>
        </w:tc>
        <w:tc>
          <w:tcPr>
            <w:tcW w:w="11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c>
          <w:tcPr>
            <w:tcW w:w="16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t>-</w:t>
            </w:r>
          </w:p>
        </w:tc>
      </w:tr>
    </w:tbl>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Мероприятия на первую очередь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обеспечение содействия организациям связи, оказывающим универсальные услуги связи, в строительстве сооружений связи и предоставлении помещений, предназначенных для оказания универсальных услуг связи.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обновление технической базы телефонной связи с переходом на цифровые АТС и оптические кабели;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увеличение количества пунктов Интернет для населения на основе автоматизированной сети связи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Мероприятия на первую очередь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Внедрение новейших технологических достижений в области средств связи, включая спутниковую связь.</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105" w:name="_Toc216434277"/>
      <w:r w:rsidRPr="00F022FE">
        <w:rPr>
          <w:rFonts w:ascii="Times New Roman" w:hAnsi="Times New Roman" w:cs="Times New Roman"/>
          <w:b/>
          <w:bCs/>
          <w:i/>
          <w:sz w:val="24"/>
          <w:szCs w:val="24"/>
        </w:rPr>
        <w:lastRenderedPageBreak/>
        <w:t>3.12. Охрана окружающей среды. Санитарная очистка территории.</w:t>
      </w:r>
      <w:bookmarkEnd w:id="105"/>
    </w:p>
    <w:p w:rsidR="00F022FE" w:rsidRPr="00F022FE" w:rsidRDefault="00F022FE" w:rsidP="00F022FE">
      <w:pPr>
        <w:spacing w:after="0" w:line="240" w:lineRule="auto"/>
        <w:jc w:val="both"/>
        <w:rPr>
          <w:rFonts w:ascii="Times New Roman" w:hAnsi="Times New Roman" w:cs="Times New Roman"/>
          <w:b/>
          <w:bCs/>
          <w:i/>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6" w:name="_Toc216434278"/>
      <w:r w:rsidRPr="00F022FE">
        <w:rPr>
          <w:rFonts w:ascii="Times New Roman" w:hAnsi="Times New Roman" w:cs="Times New Roman"/>
          <w:b/>
          <w:bCs/>
          <w:sz w:val="24"/>
          <w:szCs w:val="24"/>
        </w:rPr>
        <w:t>3.12.1. Санитарное состояние атмосферного воздуха</w:t>
      </w:r>
      <w:bookmarkEnd w:id="106"/>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Атмосферный воздух является одним из основных факторов среды обитания человека. Задачи по защите атмосферного воздуха являются одними из приоритетных проблем.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Санитарное состояние атмосферного воздуха определяется природно-климатическими показателями, выбросами от стационарных источников (промышленные и инженерные объекты), выбросами от передвижных источников (транспорт).</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метеорологическим параметрам территория Новоржевского района относится к зоне низкого и умеренного потенциала загрязнения атмосферы (ПЗА) (по классификации ГГО им. А. И. Воейкова). В среднем за год наблюдаются наиболее благоприятные условия для рассеивания вредных выбросов от низких источников.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 данным ГУ «Псковский центр по гидрометеорологии и мониторингу окружающей среды» (ПЦГИС), Управления по технологическому и экологическому надзору Ростехнадзора по Псковской области, УФНС, Госкомстата области, качество атмосферного воздуха Псковской области за последние годы не ухудшилось. Среднегодовые концентрации основных веществ, согласно информации ПЦГМС, как правило, не превышали санитарных норм.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Материалы исследований показывают, что загрязнение атмосферного воздуха происходит от стационарных и передвижных источников в том числе автотранспорта, а также в результате трансграничных переносов загрязняющих веществ.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Крупные источники загрязнения атмосферы в районе отсутствуют. Выбросы вредных веществ поступают, главным образом, от котельных, небольших промышленных предприятий, сельскохозяйственных предприятий и автотранспорта.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основе анализа состояния окружающей среды проектом Схемы территориального планирования Новоржевского района предлагаются следующие основные направления по охране окружающей среды: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улучшения состояния окружающей среды в сфере охраны атмосферного воздуха предлагаются следующие основные направления развития территории: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разработка проектов и организация санитарно-защитных зон от действующих промышленных, сельскохозяйственных предприятий и объектов инженерной инфраструктуры;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разработка сводного тома ПДВ Новоржевского городского поселения;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7" w:name="_Toc216434279"/>
      <w:r w:rsidRPr="00F022FE">
        <w:rPr>
          <w:rFonts w:ascii="Times New Roman" w:hAnsi="Times New Roman" w:cs="Times New Roman"/>
          <w:b/>
          <w:bCs/>
          <w:sz w:val="24"/>
          <w:szCs w:val="24"/>
        </w:rPr>
        <w:t>3.12.2. Санитарное состояние водных объектов</w:t>
      </w:r>
      <w:bookmarkEnd w:id="107"/>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Наблюдения за состоянием водных объектов на территории района проводит территориальная служба Росгидромета. Центр лабораторного анализа и технических измерений по Псковской области проводит работы по проверке соблюдения установленных нормативов предельно допустимых сбросов загрязняющих веществ в водные объекты предприятиями и организациями — водопользователями. ФГУЗ «Центр гигиены и эпидемиологии в Псковской области» ведет наблюдения за состоянием водных объектов в местах забора воды для водоснабжения населения и в местах отдыха.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Локальная наблюдательная сеть включает посты, наблюдения на которых ведется предприятиями-водопользователями, имеющими лаборатории, аккредитованные в области экоаналитического контроля (по анализу сточных и природных вод), или лаборатории, прошедшие испытания на техническую компетентность в данной области.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На территории Новоржевского района наблюдения ведуться на р. Сороть - у д. Осинкино. Относительный комплексный показатель степени загрязненности </w:t>
      </w:r>
      <w:r w:rsidRPr="00F022FE">
        <w:rPr>
          <w:rFonts w:ascii="Times New Roman" w:hAnsi="Times New Roman" w:cs="Times New Roman"/>
          <w:sz w:val="24"/>
          <w:szCs w:val="24"/>
        </w:rPr>
        <w:lastRenderedPageBreak/>
        <w:t>поверхностных вод (индекс УКИЗВ) составляет 3,29, а класс качества воды в реке - 3 «б», что характеризуется, как «очень загрязненная».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Водоснабжение населения Новоржевского района осуществляется из подземных водозаборов (артезианских скважин, шахтных колодцев). Отсутствуют зоны санитарной охраны второго и третьего поясов источников водоснабжения, часть скважин имеет длительный срок эксплуатации, требуется их реконструкция.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Рост процента неудовлетворительных проб питьевой воды по санитарно-химическим показателям связан с недостаточной санитарной надежностью систем питьевого водоснабжения, несовершенством водоподготовки, высокой изношенностью водопроводных сетей.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Источниками загрязнения поверхностных и подземных вод являются объекты коммунального хозяйства, неочищенные дождевые и талые воды с неблагоустроенных территорий, не очищенные сточные воды. В населённых пунктах района отсутствует централизованная система канализации, а также ливневая канализация. Сточные воды собираются в выгреба или септики, либо отводятся канализационными сетями со сбросом в водоемы без очистки и обеззараживания.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Локальными источниками загрязнения поверхностных и грунтовых вод в агропромышленном комплексе в основном являются животноводческие фермы. В период весеннего половодья и дождевых паводков происходит смыв навоза с территорий животноводческих объектов поверхностным стоком в водоёмы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Актуальным остается вопрос соблюдения режима использования водоохранных зон и прибрежных защитных полос. Статьей 65 Водного кодекса РФ № 74-ФЗ запрещено размещение кладбищ, скотомогильников, мест массового захоронения отходов производства и потребления, радиоактивных, химических, взрывчатых, токсичных, отравляющих и ядовитых веществ в границах водоохранных зон и прибрежных защитных полос водных объектов.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улучшения состояния окружающей среды в сфере охраны водных ресурсов и обеспечения населения качественной питьевой водой предлагаются следующие основные направления развития территории: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строительство канализационных очистных сооружений (прежде всего в городском поселении город Новоржев);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установление водоохраных зон и прибрежных защитных полос водных объектов;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разработка проектов и установление зон санитарной охраны всех источников водоснабжения муниципального района;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тампонирование неработающих водозаборных скважин;</w:t>
      </w:r>
    </w:p>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инвентаризация водозаборов и мест сброса сточных вод в Новоржевском районе, особенно в районе мест массового отдыха населения.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8" w:name="_Toc216434280"/>
      <w:r w:rsidRPr="00F022FE">
        <w:rPr>
          <w:rFonts w:ascii="Times New Roman" w:hAnsi="Times New Roman" w:cs="Times New Roman"/>
          <w:b/>
          <w:bCs/>
          <w:sz w:val="24"/>
          <w:szCs w:val="24"/>
        </w:rPr>
        <w:t>3.12.3. Состояние почвенного покрова</w:t>
      </w:r>
      <w:bookmarkEnd w:id="108"/>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Основным загрязнителем почв являются сбросы неочищенных сточных вод, а также автомобильные дороги. От полотна автомобильных дорог загрязнение почв распространяется на расстояние до 200-300 м, в том числе максимальное на расстоянии 3-10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Загрязнителями почв становятся также минеральные удобрения и пестициды, используемые в сельском хозяйстве.</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09" w:name="_Toc216434281"/>
      <w:r w:rsidRPr="00F022FE">
        <w:rPr>
          <w:rFonts w:ascii="Times New Roman" w:hAnsi="Times New Roman" w:cs="Times New Roman"/>
          <w:b/>
          <w:bCs/>
          <w:sz w:val="24"/>
          <w:szCs w:val="24"/>
        </w:rPr>
        <w:t>3.12.4. Физические факторы и радиационная обстановка</w:t>
      </w:r>
      <w:bookmarkEnd w:id="109"/>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Источниками электромагнитного излучения на территории Новоржевского района являются ЛЭП, а также базовые станции сотовой связи. </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Радиационная обстановка на территории Новоржевского района находится в норме. Случаев радиационных аварий, переоблучения населения не зарегистрировано.</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Выводы: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 санитарное состояние атмосферного воздуха Новоржевского района можно считать благополучным;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наиболее подвержены загрязнению атмосферного воздуха территории, расположенные вблизи автомагистралей.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на настоящий момент система подачи качественной питьевой воды находится не на совершенном уровне: необходимо строительство водоочистных сооружений, а также канализационных очистных сооружений; нуждаются в реконструкции физически изношенные инженерно-технические системы;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радиационный фон находится на стабильном уровне.</w:t>
      </w:r>
    </w:p>
    <w:p w:rsid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10" w:name="_Toc216434282"/>
      <w:r w:rsidRPr="00F022FE">
        <w:rPr>
          <w:rFonts w:ascii="Times New Roman" w:hAnsi="Times New Roman" w:cs="Times New Roman"/>
          <w:b/>
          <w:bCs/>
          <w:sz w:val="24"/>
          <w:szCs w:val="24"/>
        </w:rPr>
        <w:t>3.12.5. Объекты специального назначения и санитарная очистка территории</w:t>
      </w:r>
      <w:bookmarkEnd w:id="110"/>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округа сбор, транспортирование, обработка, утилизация, обезвреживание, захоронение твердых коммунальных отходов осуществляет региональный оператор по обращению с твердыми коммунальными отходами на территории Псковской области ООО «Экогрупп».</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Согласно Порядку накопления твердых коммунальных отходов (в том числе их раздельного накопления), утвержденному приказом Государственного комитета Псковской области по делам строительства и жилищно-коммунального хозяйства от 29.12.2018 № 129-ОД, на территории Новоржевского муниципального округа, в настоящее время сбор ТКО осуществляется несколькими способами: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мешковым сбором;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сбором с мест накопления (площадок).</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На территории Новоржевского муниципального округа расположено 321 мест накопления отходов, из которых 308 мест накопления отходов оборудовано контейнерами для раздельного сбора и накопления ТКО.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По данным, полученным из Комитета </w:t>
      </w:r>
      <w:r w:rsidRPr="00F022FE">
        <w:rPr>
          <w:rFonts w:ascii="Times New Roman" w:hAnsi="Times New Roman" w:cs="Times New Roman"/>
          <w:b/>
          <w:bCs/>
          <w:i/>
          <w:iCs/>
          <w:sz w:val="24"/>
          <w:szCs w:val="24"/>
        </w:rPr>
        <w:t xml:space="preserve">по ветеринарии </w:t>
      </w:r>
      <w:r w:rsidRPr="00F022FE">
        <w:rPr>
          <w:rFonts w:ascii="Times New Roman" w:hAnsi="Times New Roman" w:cs="Times New Roman"/>
          <w:sz w:val="24"/>
          <w:szCs w:val="24"/>
        </w:rPr>
        <w:t>Псковской области, на территории муниципального образования «Новоржевский район» Псковской области санкционированные захоронения животных, павших от сибирской язвы, существующие, закрытые скотомогильники и биотермические ямы, а также их санитарно-защитные зоны, отсутствуют.</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i/>
          <w:sz w:val="24"/>
          <w:szCs w:val="24"/>
        </w:rPr>
      </w:pPr>
      <w:bookmarkStart w:id="111" w:name="_Toc216434283"/>
      <w:r w:rsidRPr="00F022FE">
        <w:rPr>
          <w:rFonts w:ascii="Times New Roman" w:hAnsi="Times New Roman" w:cs="Times New Roman"/>
          <w:b/>
          <w:bCs/>
          <w:i/>
          <w:sz w:val="24"/>
          <w:szCs w:val="24"/>
        </w:rPr>
        <w:t>3.13. Зоны с особыми условиями использования территорий</w:t>
      </w:r>
      <w:bookmarkEnd w:id="111"/>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Система зон с особыми условиями использования территории разработана на основании требований действующих нормативных документов и является составной частью комплексной градостроительной оценки территории.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 основным зонам регламентированного градостроительного использования территории по природно-ресурсным, санитарно-гигиеническим, экологическим ограничениям относятся следующие: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санитарно-защитные зоны предприятий, сооружений и иных объектов (в т.ч. санитарно-защитные зоны для аэропортов);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санитарные разрывы (от транспортных коммуникаций);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охранные зоны (объектов инженерной инфраструктуры);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водоохранные зоны и прибрежные защитные полосы;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зоны санитарной охраны источников водоснабжения и водопроводов питьевого назначения;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зоны особо охраняемых природных территорий;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зоны охраны объектов культурного наследия.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защитные зоны объектов культурного наследия.</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center"/>
        <w:rPr>
          <w:rFonts w:ascii="Times New Roman" w:hAnsi="Times New Roman" w:cs="Times New Roman"/>
          <w:b/>
          <w:bCs/>
          <w:sz w:val="24"/>
          <w:szCs w:val="24"/>
        </w:rPr>
      </w:pPr>
      <w:bookmarkStart w:id="112" w:name="_Toc216434284"/>
      <w:r w:rsidRPr="00F022FE">
        <w:rPr>
          <w:rFonts w:ascii="Times New Roman" w:hAnsi="Times New Roman" w:cs="Times New Roman"/>
          <w:b/>
          <w:bCs/>
          <w:sz w:val="24"/>
          <w:szCs w:val="24"/>
        </w:rPr>
        <w:t>3.13.1. Санитарно-защитные зоны предприятий, сооружений и иных объектов</w:t>
      </w:r>
      <w:bookmarkEnd w:id="112"/>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 xml:space="preserve">Основные требования по организации и режимы использования территорий санитарно-защитных зон определены в СанПиН 2.2.1/2.1.1.1200-03 «Санитарно-защитные зоны и </w:t>
      </w:r>
      <w:r w:rsidRPr="00F022FE">
        <w:rPr>
          <w:rFonts w:ascii="Times New Roman" w:hAnsi="Times New Roman" w:cs="Times New Roman"/>
          <w:sz w:val="24"/>
          <w:szCs w:val="24"/>
        </w:rPr>
        <w:lastRenderedPageBreak/>
        <w:t xml:space="preserve">санитарная классификация предприятий, сооружений и иных объектов. Новая редакция», СанПиН 2.2.1./2.1.1.-2361-08 "Изменения N 1 к СанПиН 2.2.1./2.1.1.1200-03. Новая редакция», СанПиН 2.2.1/2.1.1.2555-09 «Изменение N 2 к СанПиН 2.2.1/2.1.1.1200-03. Новая редакция», СанПиН 2.2.1/2.1.1.2739-10 "Изменения и дополнения N 3 к СанПиН 2.2.1/2.1.1.1200-03. Новая редакция», СНиП 42-01-2002 «Газораспределительные системы», СанПиН 2.1.3.2630-10 "Санитарно-эпидемиологические требования к организациям, осуществляющим медицинскую деятельность"), СНиП 32-03-96 «Аэродромы»; </w:t>
      </w:r>
      <w:hyperlink r:id="rId31" w:history="1">
        <w:r w:rsidRPr="00F022FE">
          <w:rPr>
            <w:rStyle w:val="a9"/>
            <w:rFonts w:ascii="Times New Roman" w:hAnsi="Times New Roman" w:cs="Times New Roman"/>
            <w:sz w:val="24"/>
            <w:szCs w:val="24"/>
          </w:rPr>
          <w:t>ГОСТ 22283-88 «Шум авиационный. Допустимые уровни шума на территории жилой застройки и методы его измерения</w:t>
        </w:r>
      </w:hyperlink>
      <w:r w:rsidRPr="00F022FE">
        <w:rPr>
          <w:rFonts w:ascii="Times New Roman" w:hAnsi="Times New Roman" w:cs="Times New Roman"/>
          <w:sz w:val="24"/>
          <w:szCs w:val="24"/>
        </w:rPr>
        <w:t xml:space="preserve">»; </w:t>
      </w:r>
      <w:hyperlink r:id="rId32" w:history="1">
        <w:r w:rsidRPr="00F022FE">
          <w:rPr>
            <w:rStyle w:val="a9"/>
            <w:rFonts w:ascii="Times New Roman" w:hAnsi="Times New Roman" w:cs="Times New Roman"/>
            <w:sz w:val="24"/>
            <w:szCs w:val="24"/>
          </w:rPr>
          <w:t>СНиП 23-03-2003 Защита от шума</w:t>
        </w:r>
      </w:hyperlink>
      <w:r w:rsidRPr="00F022FE">
        <w:rPr>
          <w:rFonts w:ascii="Times New Roman" w:hAnsi="Times New Roman" w:cs="Times New Roman"/>
          <w:sz w:val="24"/>
          <w:szCs w:val="24"/>
        </w:rPr>
        <w:t>.</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является обязательным элементом промышленного предприятия и объекта, являющегося источником химического, биологического или физического воздействия. Уровень загрязнения или уровень воздействия в ней выше нормативов, принятых для селитебных территорий. Предоставление земельных участков в границах СЗЗ производится при наличии заключения территориальных органов Госсанэпиднадзора об отсутствии нарушений санитарных норм и правил.</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Достаточность ширины санитарно-защитной зоны должна быть подтверждена выполненными по согласованным и утвержденным в установленном порядке методам расчета рассеивания выбросов в атмосфере для всех загрязняющих веществ, распространения шума, вибрации и электромагнитных полей с учетом фонового загрязнения среды обитания по каждому из факторов за счет вклада действующих, намеченных к строительству или проектируемых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Ограничения градостроительной деятельности, связанные с СЗЗ, носят временный характер и подлежат корректировке в системе градостроительного и санитарно-гигиенического мониторинга.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Для г. Новоржева предусматривается строительство централизованной системы канализации, с прокладкой канализационных сетей и отведением сточных вод на очистные сооружения.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для КОС– 200 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остальных населенных пунктах сохраняется существующая система канализации.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Поверхностные стоки г. Новоржева отводятся посредством устройства открытой сети дождевой канализации (канавы, лотки), с последующей подачей их на очистные сооружения. Санитарно-защитная зона от очистных открытого типа – 100 м., закрытого типа – 50 м.</w:t>
      </w:r>
    </w:p>
    <w:p w:rsidR="00F022FE" w:rsidRPr="00F022FE" w:rsidRDefault="00F022FE" w:rsidP="00F022FE">
      <w:pPr>
        <w:spacing w:after="0" w:line="240" w:lineRule="auto"/>
        <w:jc w:val="both"/>
        <w:rPr>
          <w:rFonts w:ascii="Times New Roman" w:hAnsi="Times New Roman" w:cs="Times New Roman"/>
          <w:sz w:val="24"/>
          <w:szCs w:val="24"/>
        </w:rPr>
      </w:pPr>
    </w:p>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Таблица 64 - Основные требования по организации и режимы использования территорий санитарно-защитных зон (СанПиН 2.2.1/2.1.1.1200-03 «Санитарно-защитные зоны и санитарная классификация предприятий, сооружений и иных объектов» (новая редакция)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656"/>
      </w:tblGrid>
      <w:tr w:rsidR="00F022FE" w:rsidRPr="00F022FE" w:rsidTr="00F022FE">
        <w:trPr>
          <w:trHeight w:val="23"/>
          <w:tblHeader/>
          <w:jc w:val="center"/>
        </w:trPr>
        <w:tc>
          <w:tcPr>
            <w:tcW w:w="2531"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tc>
        <w:tc>
          <w:tcPr>
            <w:tcW w:w="2469" w:type="pct"/>
            <w:vAlign w:val="center"/>
          </w:tcPr>
          <w:p w:rsidR="00F022FE" w:rsidRPr="00F022FE" w:rsidRDefault="00F022FE" w:rsidP="00F022FE">
            <w:pPr>
              <w:spacing w:after="0" w:line="240" w:lineRule="auto"/>
              <w:jc w:val="both"/>
              <w:rPr>
                <w:rFonts w:ascii="Times New Roman" w:hAnsi="Times New Roman" w:cs="Times New Roman"/>
                <w:b/>
                <w:bCs/>
                <w:sz w:val="24"/>
                <w:szCs w:val="24"/>
              </w:rPr>
            </w:pPr>
            <w:r w:rsidRPr="00F022FE">
              <w:rPr>
                <w:rFonts w:ascii="Times New Roman" w:hAnsi="Times New Roman" w:cs="Times New Roman"/>
                <w:b/>
                <w:bCs/>
                <w:sz w:val="24"/>
                <w:szCs w:val="24"/>
              </w:rPr>
              <w:t>В санитарно-защитной зоне не допускается размещать</w:t>
            </w:r>
          </w:p>
        </w:tc>
      </w:tr>
      <w:tr w:rsidR="00F022FE" w:rsidRPr="00F022FE" w:rsidTr="00F022FE">
        <w:trPr>
          <w:trHeight w:val="23"/>
          <w:jc w:val="center"/>
        </w:trPr>
        <w:tc>
          <w:tcPr>
            <w:tcW w:w="2531" w:type="pct"/>
            <w:vMerge w:val="restar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нежилые помещения для дежурного аварийного персонала;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помещения для пребывания работающих по вахтовому методу (не более двух недель);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здания управления, конструкторские бюро;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здания административного назначения;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научно-исследовательские лаборатории;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поликлиники;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спортивно-оздоровительные сооружения закрытого типа;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бани, прачечные;</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торговли и общественного питания;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мотели, гостиницы;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гаражи, площадки и сооружения для хранения общественного и индивидуального транспорта;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пожарные депо;</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местные и транзитные коммуникации, ЛЭП;</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электроподстанции, нефте- и газопроводы;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артезианские скважины для технического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водоохлаждающие сооружения для подготовки технической воды;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канализационные насосные станции;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сооружения оборотного водоснабжения;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автозаправочные станции;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станции технического обслуживания автомобилей;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F022FE" w:rsidRPr="00F022FE" w:rsidRDefault="00F022FE" w:rsidP="00F022FE">
            <w:pPr>
              <w:spacing w:after="0" w:line="240" w:lineRule="auto"/>
              <w:jc w:val="both"/>
              <w:rPr>
                <w:rFonts w:ascii="Times New Roman" w:hAnsi="Times New Roman" w:cs="Times New Roman"/>
                <w:sz w:val="24"/>
                <w:szCs w:val="24"/>
              </w:rPr>
            </w:pPr>
          </w:p>
        </w:tc>
        <w:tc>
          <w:tcPr>
            <w:tcW w:w="2469"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lastRenderedPageBreak/>
              <w:t>жилую застройку, включая отдельные жилые дома, ландшафтно-рекреационные зоны;</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зоны отдыха;</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территории курортов, санаториев и домов отдыха;</w:t>
            </w:r>
          </w:p>
          <w:p w:rsidR="00F022FE" w:rsidRPr="00F022FE" w:rsidRDefault="00F022FE" w:rsidP="00F022FE">
            <w:pPr>
              <w:spacing w:after="0" w:line="240" w:lineRule="auto"/>
              <w:jc w:val="both"/>
              <w:rPr>
                <w:rFonts w:ascii="Times New Roman" w:hAnsi="Times New Roman" w:cs="Times New Roman"/>
                <w:bCs/>
                <w:sz w:val="24"/>
                <w:szCs w:val="24"/>
              </w:rPr>
            </w:pPr>
            <w:r w:rsidRPr="00F022FE">
              <w:rPr>
                <w:rFonts w:ascii="Times New Roman" w:hAnsi="Times New Roman" w:cs="Times New Roman"/>
                <w:bCs/>
                <w:sz w:val="24"/>
                <w:szCs w:val="24"/>
              </w:rPr>
              <w:lastRenderedPageBreak/>
              <w:t>территорий садоводческих товариществ и коттеджной застройки;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коллективных или индивидуальных дачных и садово-огородных участков;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а также других территорий с нормируемыми показателями качества среды обитания;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спортивные сооружения, детские площадки;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образовательные и детские учреждения,</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лечебно-профилактические и оздоровительные учреждения общего пользования.</w:t>
            </w:r>
          </w:p>
        </w:tc>
      </w:tr>
      <w:tr w:rsidR="00F022FE" w:rsidRPr="00F022FE" w:rsidTr="00F022FE">
        <w:trPr>
          <w:trHeight w:val="23"/>
          <w:jc w:val="center"/>
        </w:trPr>
        <w:tc>
          <w:tcPr>
            <w:tcW w:w="2531" w:type="pct"/>
            <w:vMerge/>
            <w:vAlign w:val="center"/>
          </w:tcPr>
          <w:p w:rsidR="00F022FE" w:rsidRPr="00F022FE" w:rsidRDefault="00F022FE" w:rsidP="00F022FE">
            <w:pPr>
              <w:spacing w:after="0" w:line="240" w:lineRule="auto"/>
              <w:jc w:val="both"/>
              <w:rPr>
                <w:rFonts w:ascii="Times New Roman" w:hAnsi="Times New Roman" w:cs="Times New Roman"/>
                <w:sz w:val="24"/>
                <w:szCs w:val="24"/>
              </w:rPr>
            </w:pPr>
          </w:p>
        </w:tc>
        <w:tc>
          <w:tcPr>
            <w:tcW w:w="2469" w:type="pct"/>
            <w:vAlign w:val="center"/>
          </w:tcPr>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В санитарно-защитной зоне и на территории объектов других отраслей промышленности не допускается размещать</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по производству лекарственных веществ;</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лекарственных средств и (или) лекарственных форм;</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склады сырья и полупродуктов для фармацевтических предприятий;</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объекты пищевых отраслей промышленности;</w:t>
            </w:r>
          </w:p>
          <w:p w:rsidR="00F022FE" w:rsidRP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оптовые склады продовольственного сырья и пищевых продуктов;</w:t>
            </w:r>
          </w:p>
          <w:p w:rsidR="00F022FE" w:rsidRPr="00F022FE" w:rsidRDefault="00F022FE" w:rsidP="00F022FE">
            <w:pPr>
              <w:spacing w:after="0" w:line="240" w:lineRule="auto"/>
              <w:jc w:val="both"/>
              <w:rPr>
                <w:rFonts w:ascii="Times New Roman" w:hAnsi="Times New Roman" w:cs="Times New Roman"/>
                <w:b/>
                <w:sz w:val="24"/>
                <w:szCs w:val="24"/>
              </w:rPr>
            </w:pPr>
            <w:r w:rsidRPr="00F022FE">
              <w:rPr>
                <w:rFonts w:ascii="Times New Roman" w:hAnsi="Times New Roman" w:cs="Times New Roman"/>
                <w:b/>
                <w:sz w:val="24"/>
                <w:szCs w:val="24"/>
              </w:rPr>
              <w:t>комплексы водопроводных сооружений для подготовки и хранения питьевой воды, которые могут повлиять на качество продукции.</w:t>
            </w:r>
          </w:p>
        </w:tc>
      </w:tr>
    </w:tbl>
    <w:p w:rsidR="00F022FE" w:rsidRDefault="00F022FE" w:rsidP="00F022FE">
      <w:pPr>
        <w:spacing w:after="0" w:line="240" w:lineRule="auto"/>
        <w:jc w:val="both"/>
        <w:rPr>
          <w:rFonts w:ascii="Times New Roman" w:hAnsi="Times New Roman" w:cs="Times New Roman"/>
          <w:sz w:val="24"/>
          <w:szCs w:val="24"/>
        </w:rPr>
      </w:pPr>
      <w:r w:rsidRPr="00F022FE">
        <w:rPr>
          <w:rFonts w:ascii="Times New Roman"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213E8A" w:rsidRDefault="00213E8A" w:rsidP="00F022FE">
      <w:pPr>
        <w:spacing w:after="0" w:line="240" w:lineRule="auto"/>
        <w:jc w:val="both"/>
        <w:rPr>
          <w:rFonts w:ascii="Times New Roman" w:hAnsi="Times New Roman" w:cs="Times New Roman"/>
          <w:sz w:val="24"/>
          <w:szCs w:val="24"/>
        </w:rPr>
      </w:pPr>
    </w:p>
    <w:p w:rsidR="00213E8A" w:rsidRDefault="00213E8A" w:rsidP="00F022FE">
      <w:pPr>
        <w:spacing w:after="0" w:line="240" w:lineRule="auto"/>
        <w:jc w:val="both"/>
        <w:rPr>
          <w:rFonts w:ascii="Times New Roman" w:hAnsi="Times New Roman" w:cs="Times New Roman"/>
          <w:sz w:val="24"/>
          <w:szCs w:val="24"/>
        </w:rPr>
      </w:pPr>
    </w:p>
    <w:p w:rsidR="00213E8A" w:rsidRDefault="00213E8A" w:rsidP="00F022FE">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3" w:name="_Toc216434285"/>
      <w:r w:rsidRPr="00213E8A">
        <w:rPr>
          <w:rFonts w:ascii="Times New Roman" w:hAnsi="Times New Roman" w:cs="Times New Roman"/>
          <w:b/>
          <w:bCs/>
          <w:sz w:val="24"/>
          <w:szCs w:val="24"/>
        </w:rPr>
        <w:lastRenderedPageBreak/>
        <w:t>3.13.2. Санитарные разрывы</w:t>
      </w:r>
      <w:bookmarkEnd w:id="113"/>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Санитарные разрывы от транспортных коммуникаций устанавливаются в соответствии с СанПиН 2.2.1/2.1.1.1200-03 «Санитарно-защитные зоны и санитарная классификация предприятий, сооружений и иных объектов. Новая редакция», СанПиН 2.2.1./2.1.1.-2361-08 "Изменения N 1 к СанПиН 2.2.1./2.1.1.1200-03. Новая редакция», СанПиН 2.2.1/2.1.1.2555-09 «Изменение N 2 к СанПиН 2.2.1/2.1.1.1200-03. Новая редакция« СанПиН 2.2.1/2.1.1.2739-10 "Изменения и дополнения N 3 к СанПиН 2.2.1/2.1.1.1200-03. Новая редакция», СП 42.13330.2011 «Градостроительство. Планировка и застройка городских и сельских поселений» Актуализированная редакция СНиП 2.07.01-89*.</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4" w:name="_Toc216434286"/>
      <w:r w:rsidRPr="00213E8A">
        <w:rPr>
          <w:rFonts w:ascii="Times New Roman" w:hAnsi="Times New Roman" w:cs="Times New Roman"/>
          <w:b/>
          <w:bCs/>
          <w:sz w:val="24"/>
          <w:szCs w:val="24"/>
        </w:rPr>
        <w:t>3.13.3. Охранные зоны</w:t>
      </w:r>
      <w:bookmarkEnd w:id="114"/>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Охранные зоны объектов инженерной инфраструктуры (объектов электросетевого хозяйства, объектов системы газоснабжения, сетей связи и сооружений связи, магистральных трубопроводов) устанавливаются в соответствии 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Постановлением Правительства Российской Федерации от 24 февраля 2009 г.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Федеральным законом от 31.03.1999 N 69-ФЗ (ред. от 30.12.2008) "О газоснабжении 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Постановлением Правительства Российской Федерации от 20.11.2000 N 878 "Об утверждении Правил охраны газораспределительных сетей";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Федеральным законом от 07.07.2003 N 126-ФЗ (ред. от 07.02.2011) «О связи»;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5. Постановлением Правительства Российской Федерации от 09.06.1995 N 578 "Об утверждении Правил охраны линий и сооружений связи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6. Правилами охраны магистральных трубопроводов" (утв. Минтопэнерго Российской Федерации 29.04.1992, Постановлением Госгортехнадзора Российской Федерации от 22.04.1992 N 9) (с изм. от 23.11.1994).</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 xml:space="preserve">Таблица 65 - Охранные зоны объектов электросетевого хозяйства </w:t>
      </w:r>
    </w:p>
    <w:tbl>
      <w:tblPr>
        <w:tblW w:w="5000" w:type="pct"/>
        <w:tblCellMar>
          <w:left w:w="10" w:type="dxa"/>
          <w:right w:w="10" w:type="dxa"/>
        </w:tblCellMar>
        <w:tblLook w:val="04A0" w:firstRow="1" w:lastRow="0" w:firstColumn="1" w:lastColumn="0" w:noHBand="0" w:noVBand="1"/>
      </w:tblPr>
      <w:tblGrid>
        <w:gridCol w:w="650"/>
        <w:gridCol w:w="6301"/>
        <w:gridCol w:w="2282"/>
      </w:tblGrid>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 п/п</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Наименование</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Расстояние*, м</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Cs/>
                <w:sz w:val="24"/>
                <w:szCs w:val="24"/>
                <w:lang w:bidi="ru-RU"/>
              </w:rPr>
            </w:pPr>
            <w:r w:rsidRPr="00213E8A">
              <w:rPr>
                <w:rFonts w:ascii="Times New Roman" w:hAnsi="Times New Roman" w:cs="Times New Roman"/>
                <w:bCs/>
                <w:sz w:val="24"/>
                <w:szCs w:val="24"/>
                <w:lang w:bidi="ru-RU"/>
              </w:rPr>
              <w:t>Охранная зона объектов электросетевого хозяйства 330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30</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110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20</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35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15</w:t>
            </w:r>
          </w:p>
        </w:tc>
      </w:tr>
      <w:tr w:rsidR="00213E8A" w:rsidRPr="00213E8A" w:rsidTr="00213E8A">
        <w:trPr>
          <w:trHeight w:val="23"/>
        </w:trPr>
        <w:tc>
          <w:tcPr>
            <w:tcW w:w="35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4</w:t>
            </w:r>
          </w:p>
        </w:tc>
        <w:tc>
          <w:tcPr>
            <w:tcW w:w="3412" w:type="pct"/>
            <w:tcBorders>
              <w:top w:val="single" w:sz="4" w:space="0" w:color="auto"/>
              <w:lef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10 кВ</w:t>
            </w:r>
          </w:p>
        </w:tc>
        <w:tc>
          <w:tcPr>
            <w:tcW w:w="1236" w:type="pct"/>
            <w:tcBorders>
              <w:top w:val="single" w:sz="4" w:space="0" w:color="auto"/>
              <w:left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10</w:t>
            </w:r>
          </w:p>
        </w:tc>
      </w:tr>
      <w:tr w:rsidR="00213E8A" w:rsidRPr="00213E8A" w:rsidTr="00213E8A">
        <w:trPr>
          <w:trHeight w:val="23"/>
        </w:trPr>
        <w:tc>
          <w:tcPr>
            <w:tcW w:w="352" w:type="pct"/>
            <w:tcBorders>
              <w:top w:val="single" w:sz="4" w:space="0" w:color="auto"/>
              <w:left w:val="single" w:sz="4" w:space="0" w:color="auto"/>
              <w:bottom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5</w:t>
            </w:r>
          </w:p>
        </w:tc>
        <w:tc>
          <w:tcPr>
            <w:tcW w:w="3412" w:type="pct"/>
            <w:tcBorders>
              <w:top w:val="single" w:sz="4" w:space="0" w:color="auto"/>
              <w:left w:val="single" w:sz="4" w:space="0" w:color="auto"/>
              <w:bottom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Охранная зона объектов электросетевого хозяйства 0,4 кВ</w:t>
            </w:r>
          </w:p>
        </w:tc>
        <w:tc>
          <w:tcPr>
            <w:tcW w:w="1236" w:type="pct"/>
            <w:tcBorders>
              <w:top w:val="single" w:sz="4" w:space="0" w:color="auto"/>
              <w:left w:val="single" w:sz="4" w:space="0" w:color="auto"/>
              <w:bottom w:val="single" w:sz="4" w:space="0" w:color="auto"/>
              <w:right w:val="single" w:sz="4" w:space="0" w:color="auto"/>
            </w:tcBorders>
            <w:shd w:val="clear" w:color="auto" w:fill="FFFFFF"/>
            <w:vAlign w:val="center"/>
          </w:tcPr>
          <w:p w:rsidR="00213E8A" w:rsidRPr="00213E8A" w:rsidRDefault="00213E8A" w:rsidP="00213E8A">
            <w:pPr>
              <w:spacing w:after="0" w:line="240" w:lineRule="auto"/>
              <w:jc w:val="both"/>
              <w:rPr>
                <w:rFonts w:ascii="Times New Roman" w:hAnsi="Times New Roman" w:cs="Times New Roman"/>
                <w:sz w:val="24"/>
                <w:szCs w:val="24"/>
                <w:lang w:bidi="ru-RU"/>
              </w:rPr>
            </w:pPr>
            <w:r w:rsidRPr="00213E8A">
              <w:rPr>
                <w:rFonts w:ascii="Times New Roman" w:hAnsi="Times New Roman" w:cs="Times New Roman"/>
                <w:sz w:val="24"/>
                <w:szCs w:val="24"/>
                <w:lang w:bidi="ru-RU"/>
              </w:rPr>
              <w:t>2</w:t>
            </w:r>
          </w:p>
        </w:tc>
      </w:tr>
    </w:tbl>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 для ЛЭП расстояние принимается по обе стороны от крайних проводов ЛЭП.</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r:id="rId33" w:anchor="7E00KC" w:history="1">
        <w:r w:rsidRPr="00213E8A">
          <w:rPr>
            <w:rStyle w:val="a9"/>
            <w:rFonts w:ascii="Times New Roman" w:hAnsi="Times New Roman" w:cs="Times New Roman"/>
            <w:sz w:val="24"/>
            <w:szCs w:val="24"/>
          </w:rPr>
          <w:t>подпункте "а" настоящего документа</w:t>
        </w:r>
      </w:hyperlink>
      <w:r w:rsidRPr="00213E8A">
        <w:rPr>
          <w:rFonts w:ascii="Times New Roman" w:hAnsi="Times New Roman" w:cs="Times New Roman"/>
          <w:sz w:val="24"/>
          <w:szCs w:val="24"/>
        </w:rPr>
        <w:t>, применительно к высшему классу напряжения подстанции.</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15" w:name="_Toc216434287"/>
      <w:r w:rsidRPr="00213E8A">
        <w:rPr>
          <w:rFonts w:ascii="Times New Roman" w:hAnsi="Times New Roman" w:cs="Times New Roman"/>
          <w:b/>
          <w:bCs/>
          <w:sz w:val="24"/>
          <w:szCs w:val="24"/>
        </w:rPr>
        <w:t>3.13.4. Водоохранные зоны, прибрежные защитные полосы и береговые полосы</w:t>
      </w:r>
      <w:bookmarkEnd w:id="115"/>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(Приложение №3).</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Ширина водоохранных зон и прибрежных защитных полос определяется в соответствии с Водным кодексом Российской Федерации от 03.06.2006 г № 74-ФЗ.</w:t>
      </w:r>
    </w:p>
    <w:p w:rsidR="00213E8A" w:rsidRPr="00213E8A" w:rsidRDefault="00213E8A" w:rsidP="00213E8A">
      <w:pPr>
        <w:spacing w:after="0" w:line="240" w:lineRule="auto"/>
        <w:jc w:val="both"/>
        <w:rPr>
          <w:rFonts w:ascii="Times New Roman" w:hAnsi="Times New Roman" w:cs="Times New Roman"/>
          <w:b/>
          <w:bCs/>
          <w:i/>
          <w:iCs/>
          <w:sz w:val="24"/>
          <w:szCs w:val="24"/>
        </w:rPr>
      </w:pPr>
      <w:r w:rsidRPr="00213E8A">
        <w:rPr>
          <w:rFonts w:ascii="Times New Roman" w:hAnsi="Times New Roman" w:cs="Times New Roman"/>
          <w:b/>
          <w:bCs/>
          <w:i/>
          <w:iCs/>
          <w:sz w:val="24"/>
          <w:szCs w:val="24"/>
        </w:rPr>
        <w:t>Ограничения на территории водоохранных зон и прибрежных защитных полос</w:t>
      </w:r>
    </w:p>
    <w:p w:rsidR="00213E8A" w:rsidRPr="00213E8A" w:rsidRDefault="00213E8A" w:rsidP="00213E8A">
      <w:pPr>
        <w:spacing w:after="0" w:line="240" w:lineRule="auto"/>
        <w:jc w:val="both"/>
        <w:rPr>
          <w:rFonts w:ascii="Times New Roman" w:hAnsi="Times New Roman" w:cs="Times New Roman"/>
          <w:i/>
          <w:iCs/>
          <w:sz w:val="24"/>
          <w:szCs w:val="24"/>
          <w:u w:val="single"/>
        </w:rPr>
      </w:pPr>
      <w:r w:rsidRPr="00213E8A">
        <w:rPr>
          <w:rFonts w:ascii="Times New Roman" w:hAnsi="Times New Roman" w:cs="Times New Roman"/>
          <w:i/>
          <w:iCs/>
          <w:sz w:val="24"/>
          <w:szCs w:val="24"/>
          <w:u w:val="single"/>
        </w:rPr>
        <w:t xml:space="preserve">В границах водоохранных зон запрещается: </w:t>
      </w:r>
    </w:p>
    <w:p w:rsidR="00213E8A" w:rsidRPr="00213E8A" w:rsidRDefault="00213E8A" w:rsidP="00213E8A">
      <w:pPr>
        <w:spacing w:after="0" w:line="240" w:lineRule="auto"/>
        <w:jc w:val="both"/>
        <w:rPr>
          <w:rFonts w:ascii="Times New Roman" w:hAnsi="Times New Roman" w:cs="Times New Roman"/>
          <w:sz w:val="24"/>
          <w:szCs w:val="24"/>
        </w:rPr>
      </w:pPr>
      <w:bookmarkStart w:id="116" w:name="dst92"/>
      <w:bookmarkStart w:id="117" w:name="dst100590"/>
      <w:bookmarkEnd w:id="116"/>
      <w:bookmarkEnd w:id="117"/>
      <w:r w:rsidRPr="00213E8A">
        <w:rPr>
          <w:rFonts w:ascii="Times New Roman" w:hAnsi="Times New Roman" w:cs="Times New Roman"/>
          <w:sz w:val="24"/>
          <w:szCs w:val="24"/>
        </w:rPr>
        <w:t>1) использование сточных вод в целях регулирования плодородия почв;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осуществление авиационных мер по борьбе с вредными организмами;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7) сброс сточных, в том числе дренажных, вод;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w:t>
      </w:r>
      <w:r w:rsidRPr="00213E8A">
        <w:rPr>
          <w:rFonts w:ascii="Times New Roman" w:hAnsi="Times New Roman" w:cs="Times New Roman"/>
          <w:sz w:val="24"/>
          <w:szCs w:val="24"/>
        </w:rPr>
        <w:lastRenderedPageBreak/>
        <w:t>геологических отводов на основании утвержденного технического проекта в соответствии со</w:t>
      </w:r>
      <w:r w:rsidRPr="00213E8A">
        <w:rPr>
          <w:rFonts w:ascii="Times New Roman" w:hAnsi="Times New Roman" w:cs="Times New Roman"/>
          <w:sz w:val="24"/>
          <w:szCs w:val="24"/>
          <w:lang w:val="en-US"/>
        </w:rPr>
        <w:t> </w:t>
      </w:r>
      <w:hyperlink r:id="rId34" w:anchor="dst35" w:history="1">
        <w:r w:rsidRPr="00213E8A">
          <w:rPr>
            <w:rStyle w:val="a9"/>
            <w:rFonts w:ascii="Times New Roman" w:hAnsi="Times New Roman" w:cs="Times New Roman"/>
            <w:sz w:val="24"/>
            <w:szCs w:val="24"/>
          </w:rPr>
          <w:t>статьей 19.1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 xml:space="preserve">Закона Российской Федерации от 21 февраля 1992 года </w:t>
      </w:r>
      <w:r w:rsidRPr="00213E8A">
        <w:rPr>
          <w:rFonts w:ascii="Times New Roman" w:hAnsi="Times New Roman" w:cs="Times New Roman"/>
          <w:sz w:val="24"/>
          <w:szCs w:val="24"/>
          <w:lang w:val="en-US"/>
        </w:rPr>
        <w:t>N</w:t>
      </w:r>
      <w:r w:rsidRPr="00213E8A">
        <w:rPr>
          <w:rFonts w:ascii="Times New Roman" w:hAnsi="Times New Roman" w:cs="Times New Roman"/>
          <w:sz w:val="24"/>
          <w:szCs w:val="24"/>
        </w:rPr>
        <w:t xml:space="preserve"> 2395-1 "О недрах").</w:t>
      </w:r>
    </w:p>
    <w:p w:rsidR="00213E8A" w:rsidRPr="00213E8A" w:rsidRDefault="00213E8A" w:rsidP="00213E8A">
      <w:pPr>
        <w:spacing w:after="0" w:line="240" w:lineRule="auto"/>
        <w:jc w:val="both"/>
        <w:rPr>
          <w:rFonts w:ascii="Times New Roman" w:hAnsi="Times New Roman" w:cs="Times New Roman"/>
          <w:sz w:val="24"/>
          <w:szCs w:val="24"/>
        </w:rPr>
      </w:pPr>
      <w:bookmarkStart w:id="118" w:name="dst98"/>
      <w:bookmarkStart w:id="119" w:name="dst100594"/>
      <w:bookmarkStart w:id="120" w:name="dst100666"/>
      <w:bookmarkEnd w:id="118"/>
      <w:bookmarkEnd w:id="119"/>
      <w:bookmarkEnd w:id="120"/>
      <w:r w:rsidRPr="00213E8A">
        <w:rPr>
          <w:rFonts w:ascii="Times New Roman" w:hAnsi="Times New Roman" w:cs="Times New Roman"/>
          <w:i/>
          <w:iCs/>
          <w:sz w:val="24"/>
          <w:szCs w:val="24"/>
          <w:u w:val="single"/>
        </w:rPr>
        <w:t>В границах водоохранных зон допускаются</w:t>
      </w:r>
      <w:r w:rsidRPr="00213E8A">
        <w:rPr>
          <w:rFonts w:ascii="Times New Roman" w:hAnsi="Times New Roman" w:cs="Times New Roman"/>
          <w:sz w:val="24"/>
          <w:szCs w:val="24"/>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13E8A" w:rsidRPr="00213E8A" w:rsidRDefault="00213E8A" w:rsidP="00213E8A">
      <w:pPr>
        <w:spacing w:after="0" w:line="240" w:lineRule="auto"/>
        <w:jc w:val="both"/>
        <w:rPr>
          <w:rFonts w:ascii="Times New Roman" w:hAnsi="Times New Roman" w:cs="Times New Roman"/>
          <w:sz w:val="24"/>
          <w:szCs w:val="24"/>
        </w:rPr>
      </w:pPr>
      <w:bookmarkStart w:id="121" w:name="dst99"/>
      <w:bookmarkEnd w:id="121"/>
      <w:r w:rsidRPr="00213E8A">
        <w:rPr>
          <w:rFonts w:ascii="Times New Roman" w:hAnsi="Times New Roman" w:cs="Times New Roman"/>
          <w:sz w:val="24"/>
          <w:szCs w:val="24"/>
        </w:rPr>
        <w:t>1) централизованные системы водоотведения (канализации), централизованные ливневые системы водоотведения;</w:t>
      </w:r>
    </w:p>
    <w:p w:rsidR="00213E8A" w:rsidRPr="00213E8A" w:rsidRDefault="00213E8A" w:rsidP="00213E8A">
      <w:pPr>
        <w:spacing w:after="0" w:line="240" w:lineRule="auto"/>
        <w:jc w:val="both"/>
        <w:rPr>
          <w:rFonts w:ascii="Times New Roman" w:hAnsi="Times New Roman" w:cs="Times New Roman"/>
          <w:sz w:val="24"/>
          <w:szCs w:val="24"/>
        </w:rPr>
      </w:pPr>
      <w:bookmarkStart w:id="122" w:name="dst100"/>
      <w:bookmarkEnd w:id="122"/>
      <w:r w:rsidRPr="00213E8A">
        <w:rPr>
          <w:rFonts w:ascii="Times New Roman" w:hAnsi="Times New Roman" w:cs="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13E8A" w:rsidRPr="00213E8A" w:rsidRDefault="00213E8A" w:rsidP="00213E8A">
      <w:pPr>
        <w:spacing w:after="0" w:line="240" w:lineRule="auto"/>
        <w:jc w:val="both"/>
        <w:rPr>
          <w:rFonts w:ascii="Times New Roman" w:hAnsi="Times New Roman" w:cs="Times New Roman"/>
          <w:sz w:val="24"/>
          <w:szCs w:val="24"/>
        </w:rPr>
      </w:pPr>
      <w:bookmarkStart w:id="123" w:name="dst101"/>
      <w:bookmarkEnd w:id="123"/>
      <w:r w:rsidRPr="00213E8A">
        <w:rPr>
          <w:rFonts w:ascii="Times New Roman" w:hAnsi="Times New Roman" w:cs="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213E8A" w:rsidRPr="00213E8A" w:rsidRDefault="00213E8A" w:rsidP="00213E8A">
      <w:pPr>
        <w:spacing w:after="0" w:line="240" w:lineRule="auto"/>
        <w:jc w:val="both"/>
        <w:rPr>
          <w:rFonts w:ascii="Times New Roman" w:hAnsi="Times New Roman" w:cs="Times New Roman"/>
          <w:sz w:val="24"/>
          <w:szCs w:val="24"/>
        </w:rPr>
      </w:pPr>
      <w:bookmarkStart w:id="124" w:name="dst102"/>
      <w:bookmarkEnd w:id="124"/>
      <w:r w:rsidRPr="00213E8A">
        <w:rPr>
          <w:rFonts w:ascii="Times New Roman" w:hAnsi="Times New Roman" w:cs="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13E8A" w:rsidRPr="00213E8A" w:rsidRDefault="00213E8A" w:rsidP="00213E8A">
      <w:pPr>
        <w:spacing w:after="0" w:line="240" w:lineRule="auto"/>
        <w:jc w:val="both"/>
        <w:rPr>
          <w:rFonts w:ascii="Times New Roman" w:hAnsi="Times New Roman" w:cs="Times New Roman"/>
          <w:sz w:val="24"/>
          <w:szCs w:val="24"/>
        </w:rPr>
      </w:pPr>
      <w:bookmarkStart w:id="125" w:name="dst255"/>
      <w:bookmarkEnd w:id="125"/>
      <w:r w:rsidRPr="00213E8A">
        <w:rPr>
          <w:rFonts w:ascii="Times New Roman" w:hAnsi="Times New Roman" w:cs="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13E8A" w:rsidRPr="00213E8A" w:rsidRDefault="00213E8A" w:rsidP="00213E8A">
      <w:pPr>
        <w:spacing w:after="0" w:line="240" w:lineRule="auto"/>
        <w:jc w:val="both"/>
        <w:rPr>
          <w:rFonts w:ascii="Times New Roman" w:hAnsi="Times New Roman" w:cs="Times New Roman"/>
          <w:sz w:val="24"/>
          <w:szCs w:val="24"/>
        </w:rPr>
      </w:pPr>
      <w:bookmarkStart w:id="126" w:name="dst103"/>
      <w:bookmarkStart w:id="127" w:name="dst218"/>
      <w:bookmarkEnd w:id="126"/>
      <w:bookmarkEnd w:id="127"/>
      <w:r w:rsidRPr="00213E8A">
        <w:rPr>
          <w:rFonts w:ascii="Times New Roman" w:hAnsi="Times New Roman" w:cs="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5" w:anchor="dst99" w:history="1">
        <w:r w:rsidRPr="00213E8A">
          <w:rPr>
            <w:rStyle w:val="a9"/>
            <w:rFonts w:ascii="Times New Roman" w:hAnsi="Times New Roman" w:cs="Times New Roman"/>
            <w:sz w:val="24"/>
            <w:szCs w:val="24"/>
          </w:rPr>
          <w:t>пункте 1 части 16</w:t>
        </w:r>
      </w:hyperlink>
      <w:r w:rsidRPr="00213E8A">
        <w:rPr>
          <w:rFonts w:ascii="Times New Roman" w:hAnsi="Times New Roman" w:cs="Times New Roman"/>
          <w:sz w:val="24"/>
          <w:szCs w:val="24"/>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13E8A" w:rsidRPr="00213E8A" w:rsidRDefault="00213E8A" w:rsidP="00213E8A">
      <w:pPr>
        <w:spacing w:after="0" w:line="240" w:lineRule="auto"/>
        <w:jc w:val="both"/>
        <w:rPr>
          <w:rFonts w:ascii="Times New Roman" w:hAnsi="Times New Roman" w:cs="Times New Roman"/>
          <w:sz w:val="24"/>
          <w:szCs w:val="24"/>
        </w:rPr>
      </w:pPr>
      <w:bookmarkStart w:id="128" w:name="dst232"/>
      <w:bookmarkEnd w:id="128"/>
      <w:r w:rsidRPr="00213E8A">
        <w:rPr>
          <w:rFonts w:ascii="Times New Roman" w:hAnsi="Times New Roman" w:cs="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w:t>
      </w:r>
      <w:r w:rsidRPr="00213E8A">
        <w:rPr>
          <w:rFonts w:ascii="Times New Roman" w:hAnsi="Times New Roman" w:cs="Times New Roman"/>
          <w:sz w:val="24"/>
          <w:szCs w:val="24"/>
          <w:lang w:val="en-US"/>
        </w:rPr>
        <w:t> </w:t>
      </w:r>
      <w:hyperlink r:id="rId36" w:anchor="dst100589" w:history="1">
        <w:r w:rsidRPr="00213E8A">
          <w:rPr>
            <w:rStyle w:val="a9"/>
            <w:rFonts w:ascii="Times New Roman" w:hAnsi="Times New Roman" w:cs="Times New Roman"/>
            <w:sz w:val="24"/>
            <w:szCs w:val="24"/>
          </w:rPr>
          <w:t>частью 15</w:t>
        </w:r>
      </w:hyperlink>
      <w:r w:rsidRPr="00213E8A">
        <w:rPr>
          <w:rFonts w:ascii="Times New Roman" w:hAnsi="Times New Roman" w:cs="Times New Roman"/>
          <w:sz w:val="24"/>
          <w:szCs w:val="24"/>
        </w:rPr>
        <w:t xml:space="preserve">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213E8A" w:rsidRPr="00213E8A" w:rsidRDefault="00213E8A" w:rsidP="00213E8A">
      <w:pPr>
        <w:spacing w:after="0" w:line="240" w:lineRule="auto"/>
        <w:jc w:val="both"/>
        <w:rPr>
          <w:rFonts w:ascii="Times New Roman" w:hAnsi="Times New Roman" w:cs="Times New Roman"/>
          <w:sz w:val="24"/>
          <w:szCs w:val="24"/>
        </w:rPr>
      </w:pPr>
      <w:bookmarkStart w:id="129" w:name="dst279"/>
      <w:bookmarkEnd w:id="129"/>
      <w:r w:rsidRPr="00213E8A">
        <w:rPr>
          <w:rFonts w:ascii="Times New Roman" w:hAnsi="Times New Roman" w:cs="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213E8A" w:rsidRPr="00213E8A" w:rsidRDefault="00213E8A" w:rsidP="00213E8A">
      <w:pPr>
        <w:spacing w:after="0" w:line="240" w:lineRule="auto"/>
        <w:jc w:val="both"/>
        <w:rPr>
          <w:rFonts w:ascii="Times New Roman" w:hAnsi="Times New Roman" w:cs="Times New Roman"/>
          <w:sz w:val="24"/>
          <w:szCs w:val="24"/>
        </w:rPr>
      </w:pPr>
      <w:bookmarkStart w:id="130" w:name="dst100595"/>
      <w:bookmarkEnd w:id="130"/>
      <w:r w:rsidRPr="00213E8A">
        <w:rPr>
          <w:rFonts w:ascii="Times New Roman" w:hAnsi="Times New Roman" w:cs="Times New Roman"/>
          <w:sz w:val="24"/>
          <w:szCs w:val="24"/>
        </w:rPr>
        <w:t>В границах прибрежных защитных полос наряду с установленными</w:t>
      </w:r>
      <w:r w:rsidRPr="00213E8A">
        <w:rPr>
          <w:rFonts w:ascii="Times New Roman" w:hAnsi="Times New Roman" w:cs="Times New Roman"/>
          <w:sz w:val="24"/>
          <w:szCs w:val="24"/>
          <w:lang w:val="en-US"/>
        </w:rPr>
        <w:t> </w:t>
      </w:r>
      <w:hyperlink r:id="rId37" w:anchor="dst100589" w:history="1">
        <w:r w:rsidRPr="00213E8A">
          <w:rPr>
            <w:rStyle w:val="a9"/>
            <w:rFonts w:ascii="Times New Roman" w:hAnsi="Times New Roman" w:cs="Times New Roman"/>
            <w:sz w:val="24"/>
            <w:szCs w:val="24"/>
          </w:rPr>
          <w:t>частью 15</w:t>
        </w:r>
      </w:hyperlink>
      <w:r w:rsidRPr="00213E8A">
        <w:rPr>
          <w:rFonts w:ascii="Times New Roman" w:hAnsi="Times New Roman" w:cs="Times New Roman"/>
          <w:sz w:val="24"/>
          <w:szCs w:val="24"/>
        </w:rPr>
        <w:t> настоящей статьи ограничениями запрещаются:</w:t>
      </w:r>
    </w:p>
    <w:p w:rsidR="00213E8A" w:rsidRPr="00213E8A" w:rsidRDefault="00213E8A" w:rsidP="00213E8A">
      <w:pPr>
        <w:spacing w:after="0" w:line="240" w:lineRule="auto"/>
        <w:jc w:val="both"/>
        <w:rPr>
          <w:rFonts w:ascii="Times New Roman" w:hAnsi="Times New Roman" w:cs="Times New Roman"/>
          <w:sz w:val="24"/>
          <w:szCs w:val="24"/>
        </w:rPr>
      </w:pPr>
      <w:bookmarkStart w:id="131" w:name="dst100596"/>
      <w:bookmarkEnd w:id="131"/>
      <w:r w:rsidRPr="00213E8A">
        <w:rPr>
          <w:rFonts w:ascii="Times New Roman" w:hAnsi="Times New Roman" w:cs="Times New Roman"/>
          <w:sz w:val="24"/>
          <w:szCs w:val="24"/>
        </w:rPr>
        <w:t>1) распашка земель;</w:t>
      </w:r>
    </w:p>
    <w:p w:rsidR="00213E8A" w:rsidRPr="00213E8A" w:rsidRDefault="00213E8A" w:rsidP="00213E8A">
      <w:pPr>
        <w:spacing w:after="0" w:line="240" w:lineRule="auto"/>
        <w:jc w:val="both"/>
        <w:rPr>
          <w:rFonts w:ascii="Times New Roman" w:hAnsi="Times New Roman" w:cs="Times New Roman"/>
          <w:sz w:val="24"/>
          <w:szCs w:val="24"/>
        </w:rPr>
      </w:pPr>
      <w:bookmarkStart w:id="132" w:name="dst100597"/>
      <w:bookmarkEnd w:id="132"/>
      <w:r w:rsidRPr="00213E8A">
        <w:rPr>
          <w:rFonts w:ascii="Times New Roman" w:hAnsi="Times New Roman" w:cs="Times New Roman"/>
          <w:sz w:val="24"/>
          <w:szCs w:val="24"/>
        </w:rPr>
        <w:t>2) размещение отвалов размываемых грунтов;</w:t>
      </w:r>
    </w:p>
    <w:p w:rsidR="00213E8A" w:rsidRPr="00213E8A" w:rsidRDefault="00213E8A" w:rsidP="00213E8A">
      <w:pPr>
        <w:spacing w:after="0" w:line="240" w:lineRule="auto"/>
        <w:jc w:val="both"/>
        <w:rPr>
          <w:rFonts w:ascii="Times New Roman" w:hAnsi="Times New Roman" w:cs="Times New Roman"/>
          <w:sz w:val="24"/>
          <w:szCs w:val="24"/>
        </w:rPr>
      </w:pPr>
      <w:bookmarkStart w:id="133" w:name="dst100598"/>
      <w:bookmarkEnd w:id="133"/>
      <w:r w:rsidRPr="00213E8A">
        <w:rPr>
          <w:rFonts w:ascii="Times New Roman" w:hAnsi="Times New Roman" w:cs="Times New Roman"/>
          <w:sz w:val="24"/>
          <w:szCs w:val="24"/>
        </w:rPr>
        <w:t>3) выпас сельскохозяйственных животных и организация для них летних лагерей, ванн.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Береговой полосой называют земли общего пользования вдоль береговой линии. Ее ширина составляет 20 метров. Исключением являются реки и ручьи протяженностью не более 10 км, их береговая полоса сужается до 5 метров.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Граждане вправе находиться на территории береговой полосы, передвигаться по ней, заниматься любительским рыболовством, а также причаливать к берегу.</w:t>
      </w:r>
    </w:p>
    <w:p w:rsidR="00213E8A" w:rsidRPr="00213E8A" w:rsidRDefault="00213E8A" w:rsidP="00213E8A">
      <w:pPr>
        <w:spacing w:after="0" w:line="240" w:lineRule="auto"/>
        <w:jc w:val="both"/>
        <w:rPr>
          <w:rFonts w:ascii="Times New Roman" w:hAnsi="Times New Roman" w:cs="Times New Roman"/>
          <w:i/>
          <w:iCs/>
          <w:sz w:val="24"/>
          <w:szCs w:val="24"/>
        </w:rPr>
      </w:pPr>
      <w:r w:rsidRPr="00213E8A">
        <w:rPr>
          <w:rFonts w:ascii="Times New Roman" w:hAnsi="Times New Roman" w:cs="Times New Roman"/>
          <w:i/>
          <w:iCs/>
          <w:sz w:val="24"/>
          <w:szCs w:val="24"/>
        </w:rPr>
        <w:t>Ограничения на территории береговых полос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На территории береговых полос запрещается: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любая деятельность и градостроительные изменения, влекущие за собой загрязнение бассейна водосбора, засорение, заиление и истощение водных объектов.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пределах береговой полосы запрещается: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установка на береговой полосе каких-либо постоянных огней, направленных в сторону судовых ходов, за исключением навигационных огней;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использовать береговую полосу для осуществления хозяйственной и иной деятельности, если такая деятельность не совместима с обеспечением безопасности судоходства;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оставление на водных объектах и на береговой полосе в пределах внутренних водных путей безнадзорных судов, сооружений, оказывающих негативное влияние на состояние внутренних водных путей и береговой полосы и (или) затрудняющих их использование.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Предоставление земельных участков в пределах береговой полосы, и выделение участков акватории внутренних водных путей, строительство на них каких-либо зданий, строений и сооружений осуществляется в порядке, установленном земельным законодательством РФ и водным законодательством РФ, по согласованию с бассейновыми органами государственного управления на внутреннем водном транспорте.</w:t>
      </w:r>
    </w:p>
    <w:p w:rsid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Пользование береговой полосой в пределах внутренних водных путей на участках пограничных зон РФ осуществляется в соответствии с законодательством РФ и по согласованию с федеральным органом исполнительной власти в области обеспечения безопасности</w:t>
      </w:r>
      <w:r>
        <w:rPr>
          <w:rFonts w:ascii="Times New Roman" w:hAnsi="Times New Roman" w:cs="Times New Roman"/>
          <w:sz w:val="24"/>
          <w:szCs w:val="24"/>
        </w:rPr>
        <w:t>.</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66 – Перечень и характеристика водных объектов</w:t>
      </w:r>
    </w:p>
    <w:tbl>
      <w:tblPr>
        <w:tblStyle w:val="aa"/>
        <w:tblW w:w="0" w:type="auto"/>
        <w:tblLayout w:type="fixed"/>
        <w:tblLook w:val="04A0" w:firstRow="1" w:lastRow="0" w:firstColumn="1" w:lastColumn="0" w:noHBand="0" w:noVBand="1"/>
      </w:tblPr>
      <w:tblGrid>
        <w:gridCol w:w="562"/>
        <w:gridCol w:w="1985"/>
        <w:gridCol w:w="1843"/>
        <w:gridCol w:w="1701"/>
        <w:gridCol w:w="1165"/>
        <w:gridCol w:w="1238"/>
      </w:tblGrid>
      <w:tr w:rsidR="00213E8A" w:rsidRPr="00213E8A" w:rsidTr="00213E8A">
        <w:trPr>
          <w:tblHeader/>
        </w:trPr>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 п/п</w:t>
            </w:r>
          </w:p>
        </w:tc>
        <w:tc>
          <w:tcPr>
            <w:tcW w:w="1985"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Наименование</w:t>
            </w:r>
          </w:p>
        </w:tc>
        <w:tc>
          <w:tcPr>
            <w:tcW w:w="1843"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Длина(площадь), км (км2)</w:t>
            </w:r>
          </w:p>
        </w:tc>
        <w:tc>
          <w:tcPr>
            <w:tcW w:w="1701"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Водоохранная зона, м</w:t>
            </w:r>
          </w:p>
        </w:tc>
        <w:tc>
          <w:tcPr>
            <w:tcW w:w="1165"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Прибрежная защитная полоса, м</w:t>
            </w:r>
          </w:p>
        </w:tc>
        <w:tc>
          <w:tcPr>
            <w:tcW w:w="1238"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Береговая полоса, м</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Сороть</w:t>
            </w:r>
          </w:p>
        </w:tc>
        <w:tc>
          <w:tcPr>
            <w:tcW w:w="1843"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80</w:t>
            </w:r>
          </w:p>
        </w:tc>
        <w:tc>
          <w:tcPr>
            <w:tcW w:w="1701"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200</w:t>
            </w:r>
          </w:p>
        </w:tc>
        <w:tc>
          <w:tcPr>
            <w:tcW w:w="1165"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50</w:t>
            </w:r>
          </w:p>
        </w:tc>
        <w:tc>
          <w:tcPr>
            <w:tcW w:w="1238" w:type="dxa"/>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Уда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1203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lastRenderedPageBreak/>
              <w:t>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Вивка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Щернетка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Севка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Выборка Милья</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Любавка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Туровка (Зубовка)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Льста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80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10</w:t>
            </w:r>
          </w:p>
        </w:tc>
        <w:tc>
          <w:tcPr>
            <w:tcW w:w="1985" w:type="dxa"/>
            <w:vAlign w:val="center"/>
          </w:tcPr>
          <w:p w:rsidR="00213E8A" w:rsidRPr="00213E8A" w:rsidRDefault="00213E8A" w:rsidP="00213E8A">
            <w:pPr>
              <w:jc w:val="both"/>
              <w:rPr>
                <w:rFonts w:ascii="Times New Roman" w:hAnsi="Times New Roman" w:cs="Times New Roman"/>
                <w:sz w:val="24"/>
                <w:szCs w:val="24"/>
              </w:rPr>
            </w:pPr>
          </w:p>
        </w:tc>
        <w:tc>
          <w:tcPr>
            <w:tcW w:w="1843" w:type="dxa"/>
            <w:vAlign w:val="center"/>
          </w:tcPr>
          <w:p w:rsidR="00213E8A" w:rsidRPr="00213E8A" w:rsidRDefault="00213E8A" w:rsidP="00213E8A">
            <w:pPr>
              <w:jc w:val="both"/>
              <w:rPr>
                <w:rFonts w:ascii="Times New Roman" w:hAnsi="Times New Roman" w:cs="Times New Roman"/>
                <w:sz w:val="24"/>
                <w:szCs w:val="24"/>
              </w:rPr>
            </w:pPr>
          </w:p>
        </w:tc>
        <w:tc>
          <w:tcPr>
            <w:tcW w:w="1701" w:type="dxa"/>
            <w:vAlign w:val="center"/>
          </w:tcPr>
          <w:p w:rsidR="00213E8A" w:rsidRPr="00213E8A" w:rsidRDefault="00213E8A" w:rsidP="00213E8A">
            <w:pPr>
              <w:jc w:val="both"/>
              <w:rPr>
                <w:rFonts w:ascii="Times New Roman" w:hAnsi="Times New Roman" w:cs="Times New Roman"/>
                <w:sz w:val="24"/>
                <w:szCs w:val="24"/>
              </w:rPr>
            </w:pPr>
          </w:p>
        </w:tc>
        <w:tc>
          <w:tcPr>
            <w:tcW w:w="1165" w:type="dxa"/>
            <w:vAlign w:val="center"/>
          </w:tcPr>
          <w:p w:rsidR="00213E8A" w:rsidRPr="00213E8A" w:rsidRDefault="00213E8A" w:rsidP="00213E8A">
            <w:pPr>
              <w:jc w:val="both"/>
              <w:rPr>
                <w:rFonts w:ascii="Times New Roman" w:hAnsi="Times New Roman" w:cs="Times New Roman"/>
                <w:sz w:val="24"/>
                <w:szCs w:val="24"/>
              </w:rPr>
            </w:pPr>
          </w:p>
        </w:tc>
        <w:tc>
          <w:tcPr>
            <w:tcW w:w="1238" w:type="dxa"/>
            <w:vAlign w:val="center"/>
          </w:tcPr>
          <w:p w:rsidR="00213E8A" w:rsidRPr="00213E8A" w:rsidRDefault="00213E8A" w:rsidP="00213E8A">
            <w:pPr>
              <w:jc w:val="both"/>
              <w:rPr>
                <w:rFonts w:ascii="Times New Roman" w:hAnsi="Times New Roman" w:cs="Times New Roman"/>
                <w:sz w:val="24"/>
                <w:szCs w:val="24"/>
              </w:rPr>
            </w:pP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Старая Льста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16</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Черная</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Рудница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Дубровка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8,5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Гранчариха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Скоробытка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Вязенька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Лостка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19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Березовка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15</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20</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Вержа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37</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Жадринка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Река Лабушка</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214</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Чернозерье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Милье Ясеньское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Рахново</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0,6</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26</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Посадниковское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27</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xml:space="preserve">Озеро Долосец (Долысец, </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Рахнихинское)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21,1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28</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Кобылях</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0,60</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29</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Корешевское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4,1</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30</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Милье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73,8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31</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Мощенец (Чищенок)</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32</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Плоское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1,3</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33</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Слепец</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3,7</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34</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Озеро Черное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1,2</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r w:rsidR="00213E8A" w:rsidRPr="00213E8A" w:rsidTr="00213E8A">
        <w:tc>
          <w:tcPr>
            <w:tcW w:w="562" w:type="dxa"/>
            <w:vAlign w:val="center"/>
          </w:tcPr>
          <w:p w:rsidR="00213E8A" w:rsidRPr="00213E8A" w:rsidRDefault="00213E8A" w:rsidP="00213E8A">
            <w:pPr>
              <w:jc w:val="both"/>
              <w:rPr>
                <w:rFonts w:ascii="Times New Roman" w:hAnsi="Times New Roman" w:cs="Times New Roman"/>
                <w:b/>
                <w:bCs/>
                <w:sz w:val="24"/>
                <w:szCs w:val="24"/>
                <w:lang w:bidi="ru-RU"/>
              </w:rPr>
            </w:pPr>
            <w:r w:rsidRPr="00213E8A">
              <w:rPr>
                <w:rFonts w:ascii="Times New Roman" w:hAnsi="Times New Roman" w:cs="Times New Roman"/>
                <w:b/>
                <w:bCs/>
                <w:sz w:val="24"/>
                <w:szCs w:val="24"/>
                <w:lang w:bidi="ru-RU"/>
              </w:rPr>
              <w:t>35</w:t>
            </w:r>
          </w:p>
        </w:tc>
        <w:tc>
          <w:tcPr>
            <w:tcW w:w="198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xml:space="preserve">Озеро Росцо (Новоржевское </w:t>
            </w:r>
            <w:r w:rsidRPr="00213E8A">
              <w:rPr>
                <w:rFonts w:ascii="Times New Roman" w:hAnsi="Times New Roman" w:cs="Times New Roman"/>
                <w:sz w:val="24"/>
                <w:szCs w:val="24"/>
              </w:rPr>
              <w:lastRenderedPageBreak/>
              <w:t>Малое)</w:t>
            </w:r>
          </w:p>
        </w:tc>
        <w:tc>
          <w:tcPr>
            <w:tcW w:w="1843"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lastRenderedPageBreak/>
              <w:t>46,8</w:t>
            </w:r>
          </w:p>
        </w:tc>
        <w:tc>
          <w:tcPr>
            <w:tcW w:w="1701"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165" w:type="dxa"/>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50</w:t>
            </w:r>
          </w:p>
        </w:tc>
        <w:tc>
          <w:tcPr>
            <w:tcW w:w="1238" w:type="dxa"/>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20</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4" w:name="_Toc216434288"/>
      <w:r w:rsidRPr="00213E8A">
        <w:rPr>
          <w:rFonts w:ascii="Times New Roman" w:hAnsi="Times New Roman" w:cs="Times New Roman"/>
          <w:b/>
          <w:bCs/>
          <w:sz w:val="24"/>
          <w:szCs w:val="24"/>
        </w:rPr>
        <w:t>3.13.5 Зоны санитарной охраны источников питьевого водоснабжения</w:t>
      </w:r>
      <w:bookmarkEnd w:id="134"/>
    </w:p>
    <w:p w:rsidR="00213E8A" w:rsidRPr="00213E8A" w:rsidRDefault="00213E8A" w:rsidP="00213E8A">
      <w:pPr>
        <w:spacing w:after="0" w:line="240" w:lineRule="auto"/>
        <w:jc w:val="both"/>
        <w:rPr>
          <w:rFonts w:ascii="Times New Roman" w:hAnsi="Times New Roman" w:cs="Times New Roman"/>
          <w:b/>
          <w:sz w:val="24"/>
          <w:szCs w:val="24"/>
        </w:rPr>
      </w:pPr>
      <w:r w:rsidRPr="00213E8A">
        <w:rPr>
          <w:rFonts w:ascii="Times New Roman" w:hAnsi="Times New Roman" w:cs="Times New Roman"/>
          <w:b/>
          <w:sz w:val="24"/>
          <w:szCs w:val="24"/>
        </w:rPr>
        <w:t xml:space="preserve">Ограничения на использование территорий зон санитарной охраны источников питьевого водоснабжения </w:t>
      </w:r>
    </w:p>
    <w:p w:rsidR="00213E8A" w:rsidRPr="00213E8A" w:rsidRDefault="00213E8A" w:rsidP="00213E8A">
      <w:pPr>
        <w:spacing w:after="0" w:line="240" w:lineRule="auto"/>
        <w:jc w:val="both"/>
        <w:rPr>
          <w:rFonts w:ascii="Times New Roman" w:hAnsi="Times New Roman" w:cs="Times New Roman"/>
          <w:b/>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67 - (СанПиН 2.1.4.1110-02 «Зоны санитарной охраны источников водоснабжения и водопроводов питьевого назначения», СНиП 2.04.02-84 «Водоснабжение. Наружные сети и сооружения», СанПин 2.1.5.980-00 «Гигиенические требования к охране поверхностных вод»)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3880"/>
        <w:gridCol w:w="3727"/>
      </w:tblGrid>
      <w:tr w:rsidR="00213E8A" w:rsidRPr="00213E8A" w:rsidTr="00213E8A">
        <w:trPr>
          <w:trHeight w:val="23"/>
          <w:tblHeader/>
          <w:jc w:val="center"/>
        </w:trPr>
        <w:tc>
          <w:tcPr>
            <w:tcW w:w="731"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зон</w:t>
            </w:r>
          </w:p>
        </w:tc>
        <w:tc>
          <w:tcPr>
            <w:tcW w:w="2175"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Запрещается</w:t>
            </w:r>
          </w:p>
        </w:tc>
        <w:tc>
          <w:tcPr>
            <w:tcW w:w="2094"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Допускается</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lang w:val="en-US"/>
              </w:rPr>
              <w:t>I</w:t>
            </w:r>
            <w:r w:rsidRPr="00213E8A">
              <w:rPr>
                <w:rFonts w:ascii="Times New Roman" w:hAnsi="Times New Roman" w:cs="Times New Roman"/>
                <w:sz w:val="24"/>
                <w:szCs w:val="24"/>
              </w:rPr>
              <w:t xml:space="preserve">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все виды строительства;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проживание людей;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посадка высокоствольных деревьев;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ядохимикатов и удобрений;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жилых и хозяйственно бытовых помещений;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спуск сточных вод, в т.ч. водного транспорта;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купание, стирка белья, водопой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другие виды водопользования, оказывающие влияние на качество воды.</w:t>
            </w:r>
          </w:p>
        </w:tc>
        <w:tc>
          <w:tcPr>
            <w:tcW w:w="2094"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ограждение;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планировка территории;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озеленение;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отведение поверхностного стока за пределы пояса в систему КОС.</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lang w:val="en-US"/>
              </w:rPr>
            </w:pPr>
            <w:r w:rsidRPr="00213E8A">
              <w:rPr>
                <w:rFonts w:ascii="Times New Roman" w:hAnsi="Times New Roman" w:cs="Times New Roman"/>
                <w:sz w:val="24"/>
                <w:szCs w:val="24"/>
                <w:lang w:val="en-US"/>
              </w:rPr>
              <w:t>II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закачка отработанных вод в подземные горизонты, подземное складирование твердых отходов, разработка недр земли;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складов ГСМ, ядохимикатов и минеральных удобрений, накопителей промстоков, шламохранилищ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удобрений и ядохимикатов;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расположение стойбищ и выпас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рубка главного пользования и </w:t>
            </w:r>
            <w:r w:rsidRPr="00213E8A">
              <w:rPr>
                <w:rFonts w:ascii="Times New Roman" w:hAnsi="Times New Roman" w:cs="Times New Roman"/>
                <w:sz w:val="24"/>
                <w:szCs w:val="24"/>
              </w:rPr>
              <w:lastRenderedPageBreak/>
              <w:t>реконструкция;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сброс промышленных, сельско-хозяйственных, городских и ливневых сточных вод</w:t>
            </w:r>
          </w:p>
        </w:tc>
        <w:tc>
          <w:tcPr>
            <w:tcW w:w="2094" w:type="pct"/>
            <w:vMerge w:val="restart"/>
            <w:tcBorders>
              <w:top w:val="single" w:sz="4" w:space="0" w:color="auto"/>
              <w:left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купание, туризм, водный спорт, рыбная ловля, в установленных местах при соблюдении гигиенических требований к охране вод и к зонам рекреации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рубки ухода и санитарные рубки леса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новое строительство с организацией отвода стоков на КОС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добыча песка, гравия, дноуглу-бительные работы по согласованию с Госсанэпиднадзором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отведение сточных вод, не отвечающих гигиеническим требованиям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санитарное благоустройство территории населенных пунктов</w:t>
            </w:r>
          </w:p>
        </w:tc>
      </w:tr>
      <w:tr w:rsidR="00213E8A" w:rsidRPr="00213E8A" w:rsidTr="00213E8A">
        <w:trPr>
          <w:trHeight w:val="23"/>
          <w:jc w:val="center"/>
        </w:trPr>
        <w:tc>
          <w:tcPr>
            <w:tcW w:w="731"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lang w:val="en-US"/>
              </w:rPr>
            </w:pPr>
            <w:r w:rsidRPr="00213E8A">
              <w:rPr>
                <w:rFonts w:ascii="Times New Roman" w:hAnsi="Times New Roman" w:cs="Times New Roman"/>
                <w:sz w:val="24"/>
                <w:szCs w:val="24"/>
                <w:lang w:val="en-US"/>
              </w:rPr>
              <w:lastRenderedPageBreak/>
              <w:t>III пояс ЗСО</w:t>
            </w:r>
          </w:p>
        </w:tc>
        <w:tc>
          <w:tcPr>
            <w:tcW w:w="2175"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Cs/>
                <w:sz w:val="24"/>
                <w:szCs w:val="24"/>
              </w:rPr>
            </w:pPr>
            <w:r w:rsidRPr="00213E8A">
              <w:rPr>
                <w:rFonts w:ascii="Times New Roman" w:hAnsi="Times New Roman" w:cs="Times New Roman"/>
                <w:bCs/>
                <w:sz w:val="24"/>
                <w:szCs w:val="24"/>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применение удобрений и ядохимикатов;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расположение стойбищ и выпас скота;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рубка главного пользования и реконструкция;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сброс промышленных, сельско-хозяйственных, городских и ливневых сточных вод</w:t>
            </w:r>
          </w:p>
        </w:tc>
        <w:tc>
          <w:tcPr>
            <w:tcW w:w="2094" w:type="pct"/>
            <w:vMerge/>
            <w:tcBorders>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68 - ЗСО скважины № 173, эксплуатируемой ГОРПО «Новоржевский хлебозавод» в соответствии с лицензией ПСК 04248. ЗСО скважины установлены приказом Государственного комитета Псковской области по природопользованию и охране окружающей среды от 22.11.2016 г. № 1016.</w:t>
      </w:r>
    </w:p>
    <w:tbl>
      <w:tblPr>
        <w:tblStyle w:val="aa"/>
        <w:tblW w:w="5000" w:type="pct"/>
        <w:jc w:val="center"/>
        <w:tblLook w:val="04A0" w:firstRow="1" w:lastRow="0" w:firstColumn="1" w:lastColumn="0" w:noHBand="0" w:noVBand="1"/>
      </w:tblPr>
      <w:tblGrid>
        <w:gridCol w:w="463"/>
        <w:gridCol w:w="1206"/>
        <w:gridCol w:w="1387"/>
        <w:gridCol w:w="1387"/>
        <w:gridCol w:w="1336"/>
        <w:gridCol w:w="1215"/>
        <w:gridCol w:w="1238"/>
        <w:gridCol w:w="1197"/>
      </w:tblGrid>
      <w:tr w:rsidR="00213E8A" w:rsidRPr="00213E8A" w:rsidTr="00213E8A">
        <w:trPr>
          <w:trHeight w:val="23"/>
          <w:jc w:val="center"/>
        </w:trPr>
        <w:tc>
          <w:tcPr>
            <w:tcW w:w="33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 п/п</w:t>
            </w:r>
          </w:p>
        </w:tc>
        <w:tc>
          <w:tcPr>
            <w:tcW w:w="573"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Дата регистрации заявления</w:t>
            </w:r>
          </w:p>
        </w:tc>
        <w:tc>
          <w:tcPr>
            <w:tcW w:w="1023"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объекта</w:t>
            </w:r>
          </w:p>
        </w:tc>
        <w:tc>
          <w:tcPr>
            <w:tcW w:w="56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Заказчик</w:t>
            </w:r>
          </w:p>
        </w:tc>
        <w:tc>
          <w:tcPr>
            <w:tcW w:w="591"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Разработчик документации</w:t>
            </w:r>
          </w:p>
        </w:tc>
        <w:tc>
          <w:tcPr>
            <w:tcW w:w="635"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Согласовано дата</w:t>
            </w:r>
          </w:p>
        </w:tc>
        <w:tc>
          <w:tcPr>
            <w:tcW w:w="794"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 и дата приказа об утверждении проекта</w:t>
            </w:r>
          </w:p>
        </w:tc>
        <w:tc>
          <w:tcPr>
            <w:tcW w:w="486" w:type="pct"/>
            <w:vAlign w:val="center"/>
          </w:tcPr>
          <w:p w:rsidR="00213E8A" w:rsidRPr="00213E8A" w:rsidRDefault="00213E8A" w:rsidP="00213E8A">
            <w:pPr>
              <w:jc w:val="both"/>
              <w:rPr>
                <w:rFonts w:ascii="Times New Roman" w:hAnsi="Times New Roman" w:cs="Times New Roman"/>
                <w:b/>
                <w:bCs/>
                <w:sz w:val="24"/>
                <w:szCs w:val="24"/>
              </w:rPr>
            </w:pPr>
            <w:r w:rsidRPr="00213E8A">
              <w:rPr>
                <w:rFonts w:ascii="Times New Roman" w:hAnsi="Times New Roman" w:cs="Times New Roman"/>
                <w:b/>
                <w:bCs/>
                <w:sz w:val="24"/>
                <w:szCs w:val="24"/>
              </w:rPr>
              <w:t>Примечание</w:t>
            </w:r>
          </w:p>
        </w:tc>
      </w:tr>
      <w:tr w:rsidR="00213E8A" w:rsidRPr="00213E8A" w:rsidTr="00213E8A">
        <w:trPr>
          <w:trHeight w:val="23"/>
          <w:jc w:val="center"/>
        </w:trPr>
        <w:tc>
          <w:tcPr>
            <w:tcW w:w="33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26</w:t>
            </w:r>
          </w:p>
        </w:tc>
        <w:tc>
          <w:tcPr>
            <w:tcW w:w="573" w:type="pct"/>
            <w:vAlign w:val="center"/>
          </w:tcPr>
          <w:p w:rsidR="00213E8A" w:rsidRPr="00213E8A" w:rsidRDefault="00213E8A" w:rsidP="00213E8A">
            <w:pPr>
              <w:jc w:val="both"/>
              <w:rPr>
                <w:rFonts w:ascii="Times New Roman" w:hAnsi="Times New Roman" w:cs="Times New Roman"/>
                <w:bCs/>
                <w:sz w:val="24"/>
                <w:szCs w:val="24"/>
              </w:rPr>
            </w:pPr>
            <w:r w:rsidRPr="00213E8A">
              <w:rPr>
                <w:rFonts w:ascii="Times New Roman" w:hAnsi="Times New Roman" w:cs="Times New Roman"/>
                <w:bCs/>
                <w:sz w:val="24"/>
                <w:szCs w:val="24"/>
              </w:rPr>
              <w:t>08.11.16</w:t>
            </w:r>
          </w:p>
        </w:tc>
        <w:tc>
          <w:tcPr>
            <w:tcW w:w="1023"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Проект зон санитарной</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охраны скважины на</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воду</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173 в составе трех</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поясов ГОРПО</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«Новоржевский</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хлебозавод»,</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расположенной по ул.</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xml:space="preserve">Некрасова </w:t>
            </w:r>
            <w:r w:rsidRPr="00213E8A">
              <w:rPr>
                <w:rFonts w:ascii="Times New Roman" w:hAnsi="Times New Roman" w:cs="Times New Roman"/>
                <w:sz w:val="24"/>
                <w:szCs w:val="24"/>
              </w:rPr>
              <w:lastRenderedPageBreak/>
              <w:t>д. 35 в</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г. Новоржеве</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Новоржевского района</w:t>
            </w:r>
          </w:p>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Псковской области</w:t>
            </w:r>
          </w:p>
          <w:p w:rsidR="00213E8A" w:rsidRPr="00213E8A" w:rsidRDefault="00213E8A" w:rsidP="00213E8A">
            <w:pPr>
              <w:jc w:val="both"/>
              <w:rPr>
                <w:rFonts w:ascii="Times New Roman" w:hAnsi="Times New Roman" w:cs="Times New Roman"/>
                <w:sz w:val="24"/>
                <w:szCs w:val="24"/>
              </w:rPr>
            </w:pPr>
          </w:p>
        </w:tc>
        <w:tc>
          <w:tcPr>
            <w:tcW w:w="56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lastRenderedPageBreak/>
              <w:t>ГОРПО «Новоржевский хлебозавод»</w:t>
            </w:r>
          </w:p>
        </w:tc>
        <w:tc>
          <w:tcPr>
            <w:tcW w:w="591"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ИП Архипов Д.А.</w:t>
            </w:r>
          </w:p>
        </w:tc>
        <w:tc>
          <w:tcPr>
            <w:tcW w:w="635"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Согласовано 22.11.16 г.</w:t>
            </w:r>
          </w:p>
        </w:tc>
        <w:tc>
          <w:tcPr>
            <w:tcW w:w="794"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 1016 т. 22.11.16 г.</w:t>
            </w:r>
          </w:p>
        </w:tc>
        <w:tc>
          <w:tcPr>
            <w:tcW w:w="486" w:type="pct"/>
            <w:vAlign w:val="center"/>
          </w:tcPr>
          <w:p w:rsidR="00213E8A" w:rsidRPr="00213E8A" w:rsidRDefault="00213E8A" w:rsidP="00213E8A">
            <w:pPr>
              <w:jc w:val="both"/>
              <w:rPr>
                <w:rFonts w:ascii="Times New Roman" w:hAnsi="Times New Roman" w:cs="Times New Roman"/>
                <w:sz w:val="24"/>
                <w:szCs w:val="24"/>
              </w:rPr>
            </w:pPr>
            <w:r w:rsidRPr="00213E8A">
              <w:rPr>
                <w:rFonts w:ascii="Times New Roman" w:hAnsi="Times New Roman" w:cs="Times New Roman"/>
                <w:sz w:val="24"/>
                <w:szCs w:val="24"/>
              </w:rPr>
              <w:t>На срок действия лицензии</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Для водозаборов района необходимо разработать проекты и обустроить зоны санитарной охраны первого, второго и третьего поясов.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Источники водоснабжения подвергаются загрязнению, поэтому необходимо проводить специальные меры по их охране.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Основной целью организации ЗСО является охрана от загрязнения и истощения источников централизованного питьевого водоснабжения, а также водопроводных сооружений и окружающей их территории, влияющей на санитарный режим источника водоснабжения.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санитарной охраны (ЗСО) объектов хозяйственно-питьевого водоснабжения назначаются в соответствии с действующими нормативами (СанПиН 2.1.4.1110-02) с целью:</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обеспечения санитарно-эпидемиологической надежности хозяйственно-питьевого водоснабжения города;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предупреждения загрязнения источника водоснабжения и изменения качественного состава воды в источнике ЗСО организуются в составе трех поясов: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Первый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Второй, третий пояса (режимов ограничений) включают территорию, предназначенную для предупреждения загрязнения воды источников водоснабжения. В пределах второго и третьего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 и др.</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69 - Регламенты использования территории зон санитарной охраны подземных источников водоснабжения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3080"/>
        <w:gridCol w:w="4527"/>
      </w:tblGrid>
      <w:tr w:rsidR="00213E8A" w:rsidRPr="00213E8A" w:rsidTr="00213E8A">
        <w:trPr>
          <w:trHeight w:val="23"/>
          <w:tblHeader/>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w:t>
            </w:r>
          </w:p>
        </w:tc>
        <w:tc>
          <w:tcPr>
            <w:tcW w:w="1642"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Запрещается</w:t>
            </w:r>
          </w:p>
        </w:tc>
        <w:tc>
          <w:tcPr>
            <w:tcW w:w="2409" w:type="pct"/>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Допускается</w:t>
            </w:r>
          </w:p>
        </w:tc>
      </w:tr>
      <w:tr w:rsidR="00213E8A" w:rsidRPr="00213E8A" w:rsidTr="00213E8A">
        <w:trPr>
          <w:trHeight w:val="23"/>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lang w:val="en-US"/>
              </w:rPr>
              <w:t>I</w:t>
            </w:r>
            <w:r w:rsidRPr="00213E8A">
              <w:rPr>
                <w:rFonts w:ascii="Times New Roman" w:hAnsi="Times New Roman" w:cs="Times New Roman"/>
                <w:sz w:val="24"/>
                <w:szCs w:val="24"/>
              </w:rPr>
              <w:t xml:space="preserve"> пояс ЗСО</w:t>
            </w:r>
          </w:p>
        </w:tc>
        <w:tc>
          <w:tcPr>
            <w:tcW w:w="1642"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Все виды строительства;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Выпуск любых стоков;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Размещение жилых и хозяйственно-бытовых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зданий;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Проживание людей;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Загрязнение питьевой воды через оголовки и устья скважин, люки и переливные трубы резервуаров  </w:t>
            </w:r>
          </w:p>
        </w:tc>
        <w:tc>
          <w:tcPr>
            <w:tcW w:w="2409"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Ограждение и охрана;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Озеленение;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Отвод поверхностного стока на очистные сооружения.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Твердое покрытие на дорожках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Оборудование зданий канализацией с отводом сточных вод на КОС</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-Оборудование водопроводных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сооружений с учетом предотвращения загрязнения питьевой воды через оголовки и устья скважин и т.д.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Оборудование водозаборов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аппаратурой для контроля дебита</w:t>
            </w:r>
          </w:p>
        </w:tc>
      </w:tr>
      <w:tr w:rsidR="00213E8A" w:rsidRPr="00213E8A" w:rsidTr="00213E8A">
        <w:trPr>
          <w:trHeight w:val="23"/>
          <w:jc w:val="center"/>
        </w:trPr>
        <w:tc>
          <w:tcPr>
            <w:tcW w:w="948"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II и III пояса </w:t>
            </w:r>
          </w:p>
        </w:tc>
        <w:tc>
          <w:tcPr>
            <w:tcW w:w="1642"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-Закачка отработанных вод в подземные горизонты, </w:t>
            </w:r>
            <w:r w:rsidRPr="00213E8A">
              <w:rPr>
                <w:rFonts w:ascii="Times New Roman" w:hAnsi="Times New Roman" w:cs="Times New Roman"/>
                <w:sz w:val="24"/>
                <w:szCs w:val="24"/>
              </w:rPr>
              <w:lastRenderedPageBreak/>
              <w:t>подземного складирования твердых отходов и разработки недр земли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Размещение складов ГСМ, накопителей промстоков, шламохранилищ, кладбищ.</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w:t>
            </w:r>
          </w:p>
        </w:tc>
        <w:tc>
          <w:tcPr>
            <w:tcW w:w="2409" w:type="pct"/>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 xml:space="preserve">-Выявление, тампонирование или восстановление всех старых, </w:t>
            </w:r>
            <w:r w:rsidRPr="00213E8A">
              <w:rPr>
                <w:rFonts w:ascii="Times New Roman" w:hAnsi="Times New Roman" w:cs="Times New Roman"/>
                <w:sz w:val="24"/>
                <w:szCs w:val="24"/>
              </w:rPr>
              <w:lastRenderedPageBreak/>
              <w:t>бездействующих или неправильно эксплуатируемых скважин, представляющих опасность в загрязнении водоносных горизонтов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Благоустройство территории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населенных пунктов (оборудование канализацией, устройство водонепроницаемых выгребов, организация отвода поверхностного стока)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В III поясе при использовании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защищенных подземных вод, выполнении спецмероприятий по защите водоносного горизонта от загрязнения: размещение складов ГСМ, ядохимикатов, накопителей промстоков, шламохранилищ и др.</w:t>
            </w:r>
          </w:p>
        </w:tc>
      </w:tr>
    </w:tbl>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Использование территорий в соответствии с СанПиН 2.1.4.1110-02 «Зоны санитарной охраны источников водоснабжения и водопроводов питьевого назначения», СНиП 2.04.02-84 «Водоснабжение. Наружные сети и сооружения», СанПин 2.1.5.980-00 «Гигиенические требования к охране поверхностных вод». 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(Приложение №4).</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I пояс (строгого режима) включает территорию расположения водозаборов, очистных сооружений, резервуаров чистой воды, напорных резервуары и водонапорных башен, а также санитарно-защитные полосы водоводов, в пределах которых запрещаются все виды строительства, не имеющего непосредственного отношения к водозабору;</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II пояс (режимов ограничений) включает территорию, предназначенную для предупреждения загрязнения воды источников водоснабжения. В пределах II-III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 и др. </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5" w:name="_Toc216434289"/>
      <w:r w:rsidRPr="00213E8A">
        <w:rPr>
          <w:rFonts w:ascii="Times New Roman" w:hAnsi="Times New Roman" w:cs="Times New Roman"/>
          <w:b/>
          <w:bCs/>
          <w:sz w:val="24"/>
          <w:szCs w:val="24"/>
        </w:rPr>
        <w:t>3.13.6. Зоны особо охраняемых природных территорий (ООПТ)</w:t>
      </w:r>
      <w:bookmarkEnd w:id="135"/>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Вопросы хозяйственной деятельности в ООПТ регламентируются Федеральным законом "Об особо охраняемых природных территориях" от 14.03.95 № 33-ФЗ и соответствующими Положениями для каждого объекта.</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6" w:name="_Toc216434290"/>
      <w:r w:rsidRPr="00213E8A">
        <w:rPr>
          <w:rFonts w:ascii="Times New Roman" w:hAnsi="Times New Roman" w:cs="Times New Roman"/>
          <w:b/>
          <w:bCs/>
          <w:sz w:val="24"/>
          <w:szCs w:val="24"/>
        </w:rPr>
        <w:t>3.13.7. Зоны месторождений полезных ископаемых</w:t>
      </w:r>
      <w:bookmarkEnd w:id="136"/>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Режим использования территорий полезных ископаемых устанавливается в соответствии Законом Российской Федерации «О недрах» от 21 февраля 1992 г №2395-1 в редакции на 29.06.2004 г: «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органов и органов государственного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 а также в соответствии со СНиП 2.07.01-89*, п.9.2* (Градостроительство. Планировка и застройка городских и сельских поселений).</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7" w:name="_Toc216434291"/>
      <w:r w:rsidRPr="00213E8A">
        <w:rPr>
          <w:rFonts w:ascii="Times New Roman" w:hAnsi="Times New Roman" w:cs="Times New Roman"/>
          <w:b/>
          <w:bCs/>
          <w:sz w:val="24"/>
          <w:szCs w:val="24"/>
        </w:rPr>
        <w:t>3.13.8. Зоны охраны объектов культурного наследия</w:t>
      </w:r>
      <w:bookmarkEnd w:id="137"/>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В соответствии со статьей 34 Федерального закона №73-ФЗ от 25.06.2002 г.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Порядок разработки, согласования и утверждения проекта зоны охраны объекта культурного наследия, проектов объединенной зоны охраны, требований к ограничениям использования земельных участков, водных объектов и их частей в границах зоны охраны, объединенной зоны охраны, а также общие принципы установления требований к градостроительным регламентам в границах зоны охраны, объединенной зоны охраны определены постановлением Правительства Российской Федерации от 12.09.2015 № 972 (в редакции от 27.12.2024)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устанавливаются бессрочно в размере, обеспечивающем сохранность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не устанавливаются в отношении следующих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а) полностью скрытые в земле и (или) под водой, в том числе объекты археологического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б) мемориальные квартиры, а также отдельные помещения в зданиях и сооружениях, предметом охраны которых являются исключительно архитектурные, конструктивные и объемно-планировочные решения, интерьер таких помещений;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произведения монументального искусства в случае, если для их создания, возведения, установки не требуется разрешение на строительство;</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 достопримечательные места;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 некрополи, захоронения, расположенные в границах некрополей;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е) памятники и ансамбли, расположенные в границах достопримечательных мест (в случае если утверждены требования к осуществлению деятельности и градостроительному регламенту в границах достопримечательного места).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Зоны охраны, объединенные зоны охраны устанавливаются в отношении объектов культурного наследия, для которых утверждены границы территории в соответствии с законодательством Российской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Федерации в области государственной охраны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охраны, объединенные зоны охраны устанавливаются от границ территорий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При изменении границ территорий объектов культурного наследия, выявленных объектов культурного наследия, расположенных в границах зон охраны, объединенных зон охраны, путем уменьшения указанных территорий принимается решение об установлении или изменении на территории, исключенной из указанных границ, соответствующих зон охраны, объединенных зон охраны, до установления которых на такую исключенную территорию распространяются требования пункта 1 статьи 34.1 </w:t>
      </w:r>
      <w:r w:rsidRPr="00213E8A">
        <w:rPr>
          <w:rFonts w:ascii="Times New Roman" w:hAnsi="Times New Roman" w:cs="Times New Roman"/>
          <w:sz w:val="24"/>
          <w:szCs w:val="24"/>
        </w:rPr>
        <w:lastRenderedPageBreak/>
        <w:t>Федерального закона от 25.06.2002№ 73-ФЗ «Об объектах культурного наследия (памятниках истории и культуры) народов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случае изменения границ территорий объектов культурного наследия, выявленных объектов культурного наследия путем увеличения указанных территорий на соответствующие территории распространяются требования к осуществлению деятельности в границах территории объекта культурного наследия, предусмотренные законодательством Российской Федерации в области государственной охраны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Требования к градостроительным регламентам в границах зон охраны, объединенных зон охраны устанавливаются с учетом следующих общих принципов: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сбалансированность - необходимость обеспечения баланса сохранения объектов культурного наследия в их исторической среде и хозяйственного развития территорий;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научная обоснованность и объективность - ограничение застройки территории в той мере, в какой это необходимо для обеспечения сохранности объектов культурного наследия в их исторической среде;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соразмерность - ограничения застройки территорий, соразмерные рискам причинения вреда объектам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полнота и предсказуемость - наличие исчерпывающего перечня запретов и (или) ограничений градостроительной и хозяйственной деятельности;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определенность и реализуемость - недопустимость установления противоречивых, допускающих неоднозначное толкование и неисполнимых градостроительных регламентов.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Ограничения использования земельных участков, водных объектов и их частей и требования к градостроительным регламентам в границах зон охраны, объединенных зон охраны не применяются к строительству (реконструкции) объектов капитального строительства, осуществляемому до вступления в силу решений об установлении зон охраны, объединенных зон охраны и утверждения требований к градостроительным регламентам.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 дня установления или изменения зон охраны, объединенных зон охраны независимо от ограничений использования земельных участков, установленных в границах зон охраны, объединенных зон охраны, допускаются эксплуатация и капитальный ремонт объектов капитального строительства, расположенных в границах зон охраны, объединенных зон охраны, а также реконструкция объектов капитального строительства в пределах существующих объемно-пространственных параметров или в предельных параметрах строительства (реконструкции) объектов капитального строительства в случае, если они превышают параметры указанных существующих объектов капитального строительства.</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sz w:val="24"/>
          <w:szCs w:val="24"/>
        </w:rPr>
      </w:pPr>
      <w:bookmarkStart w:id="138" w:name="_Toc216434292"/>
      <w:r w:rsidRPr="00213E8A">
        <w:rPr>
          <w:rFonts w:ascii="Times New Roman" w:hAnsi="Times New Roman" w:cs="Times New Roman"/>
          <w:b/>
          <w:bCs/>
          <w:sz w:val="24"/>
          <w:szCs w:val="24"/>
        </w:rPr>
        <w:t>3.13.9. Защитные зоны объектов культурного наследия</w:t>
      </w:r>
      <w:bookmarkEnd w:id="138"/>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Согласно статье 34.1.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объектов культурного наследия и композиционно-видовых связей (панорам) к объекту культурного наследия устанавливается защитная зона.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213E8A">
        <w:rPr>
          <w:rFonts w:ascii="Times New Roman" w:hAnsi="Times New Roman" w:cs="Times New Roman"/>
          <w:sz w:val="24"/>
          <w:szCs w:val="24"/>
        </w:rPr>
        <w:lastRenderedPageBreak/>
        <w:t>монументального искусства, а также памятников и ансамблей, расположенных в границах достопримечательного места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Границы защитной зоны объекта культурного наследия устанавливаются: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39" w:name="bookmark4"/>
      <w:bookmarkStart w:id="140" w:name="_Toc216434293"/>
      <w:r w:rsidRPr="00213E8A">
        <w:rPr>
          <w:rFonts w:ascii="Times New Roman" w:hAnsi="Times New Roman" w:cs="Times New Roman"/>
          <w:b/>
          <w:bCs/>
          <w:sz w:val="24"/>
          <w:szCs w:val="24"/>
        </w:rPr>
        <w:t>3.13.10. Зоны затопления и подтопления</w:t>
      </w:r>
      <w:bookmarkEnd w:id="139"/>
      <w:bookmarkEnd w:id="140"/>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Зоны затопления и подтопления утверждены распоряжениями Невско-Ладожского бассейнового водного управления и поставлены на учет в ЕГРН:</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затопления в отношении территорий, прилегающих к озеру Орша в границах города Новоржев, затапливаемых при половодьях и паводках однопроцентной обеспеченности (повторяемость один раз в 100 лет), реестровый номер 60:10-6.470, утверждена распоряжением от 09 августа 2019 г. № 48 «Об утверждении местоположения границ зон затопления в отношении территорий, прилегающих к озеру Орша в границах города Новоржев Псковской области»;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подтопления в отношении территории, прилегающей к зоне затопления, повышение уровня грунтовых вод которой обусловливается подпором вод уровнями высоких вод озера Орша в границах г. Новоржев, реестровый номер 60:10-6.472, утверждена распоряжением от 09 августа 2019 г. № 47 «Об утверждении местоположения границ зон подтопления в отношении территории, прилегающей к зоне затопления, повышение уровня грунтовых вод которой обуславливается подпором вод уровнями высоких вод озера Орша в границах города Новоржев Псковской области»;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Зона затопления в отношении территорий, прилегающих к реке Льста в границах д. Волчицкое, затапливаемых при половодьях и паводках однопроцентной обеспеченности (повторяемость один раз в 100 лет), реестровый номер 60:10-6.471, утверждена распоряжением от 09 августа 2019 г. № 55 «Об утверждении местоположения границ зон затопления в отношении территорий, прилегающих к реке Льста в границах деревни Волчицкое Псковской области»;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 Зона подтопления в отношении территории, прилегающей к зоне затопления, повышение уровня грунтовых вод которой обусловливается подпором вод уровнями высоких вод реки Льста в границах д. Волочицкое", реестровый номер 60:10-6.469, утверждена распоряжением от 09 августа 2019 г. № 56 «Об утверждении местоположения границ зон подтопления в отношении территории, прилегающей к зоне затопления, повышение уровня грунтовых вод которой обуславливается подпором вод уровнями высоких вод реки Льста в границах деревни Волчицкое Псковской области».</w:t>
      </w:r>
    </w:p>
    <w:p w:rsidR="00213E8A" w:rsidRPr="00213E8A" w:rsidRDefault="00213E8A" w:rsidP="00213E8A">
      <w:pPr>
        <w:spacing w:after="0" w:line="240" w:lineRule="auto"/>
        <w:jc w:val="both"/>
        <w:rPr>
          <w:rFonts w:ascii="Times New Roman" w:hAnsi="Times New Roman" w:cs="Times New Roman"/>
          <w:b/>
          <w:bCs/>
          <w:i/>
          <w:iCs/>
          <w:sz w:val="24"/>
          <w:szCs w:val="24"/>
        </w:rPr>
      </w:pPr>
      <w:r w:rsidRPr="00213E8A">
        <w:rPr>
          <w:rFonts w:ascii="Times New Roman" w:hAnsi="Times New Roman" w:cs="Times New Roman"/>
          <w:b/>
          <w:bCs/>
          <w:i/>
          <w:iCs/>
          <w:sz w:val="24"/>
          <w:szCs w:val="24"/>
        </w:rPr>
        <w:t>Правовой режим использования земельных участков в границах зон затопления и подтопления: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граница зон затопления и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Использование сточных вод в целях регулирования плодородия почв;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Осуществление авиационных мер по борьбе с вредными организмами.</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1" w:name="_Toc216434294"/>
      <w:r w:rsidRPr="00213E8A">
        <w:rPr>
          <w:rFonts w:ascii="Times New Roman" w:hAnsi="Times New Roman" w:cs="Times New Roman"/>
          <w:b/>
          <w:bCs/>
          <w:sz w:val="24"/>
          <w:szCs w:val="24"/>
        </w:rPr>
        <w:t>3.13.11. Особо охраняемые природные территории</w:t>
      </w:r>
      <w:bookmarkEnd w:id="141"/>
    </w:p>
    <w:p w:rsidR="00213E8A" w:rsidRPr="00213E8A" w:rsidRDefault="00213E8A" w:rsidP="00213E8A">
      <w:pPr>
        <w:spacing w:after="0" w:line="240" w:lineRule="auto"/>
        <w:jc w:val="both"/>
        <w:rPr>
          <w:rFonts w:ascii="Times New Roman" w:hAnsi="Times New Roman" w:cs="Times New Roman"/>
          <w:sz w:val="24"/>
          <w:szCs w:val="24"/>
        </w:rPr>
      </w:pPr>
      <w:bookmarkStart w:id="142" w:name="_Toc216772319"/>
      <w:r w:rsidRPr="00213E8A">
        <w:rPr>
          <w:rFonts w:ascii="Times New Roman" w:hAnsi="Times New Roman" w:cs="Times New Roman"/>
          <w:sz w:val="24"/>
          <w:szCs w:val="24"/>
        </w:rPr>
        <w:t>Особо охраняемые природные территории играют важную роль в сохранении и защите естественных природных ландшафтов, выполняя средозащитные и средовосстанавливающие функции экосистемы.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 территории Новоржевского района расположена 1 особо охраняемых природных территория.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Государственный природный зоологический заказник регионального значения «Новоржевский», общей площадью 12 500 га. Заказник утверждён постановлением Администрации Псковской области от 05.01.1996 №4 и постановлением Администрации псковской области от 27.06.2005 № 266. Заказник расположен в западной части района, к северо-западу от г. Новоржев.</w:t>
      </w: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Цели создания: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сохранение и воспроизводство охотничье-промысловой фауны для последующего естественного расселения на территорию окружающих охотничьих угодий;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 сохранение среды обитания зверей и птиц как необходимого условия их существования и воспроизводства;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сохранение природных комплексов области в условиях ограниченной хозяйственной деятельности.</w:t>
      </w: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Вывод:</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 территории Новоржеского района расположен 1 особо охраняемых природных территории, общей площадью 12 500 тыс. га.</w:t>
      </w:r>
    </w:p>
    <w:bookmarkEnd w:id="142"/>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3" w:name="_Toc216434295"/>
      <w:r w:rsidRPr="00213E8A">
        <w:rPr>
          <w:rFonts w:ascii="Times New Roman" w:hAnsi="Times New Roman" w:cs="Times New Roman"/>
          <w:b/>
          <w:bCs/>
          <w:sz w:val="24"/>
          <w:szCs w:val="24"/>
        </w:rPr>
        <w:t>3.13.12. Градостроительная, хозяйственная и иная деятельность в историческом поселении</w:t>
      </w:r>
      <w:bookmarkEnd w:id="143"/>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соответствии с постановлением администрации Псковской области N 239 от 02.06.2014 «Об утверждении перечня исторических поселений регионального значения, имеющих особое значение для истории и культуры Псковской области» в границах области расположено 16 исторических поселений регионального значения, среди которых город Новоржев.</w:t>
      </w:r>
    </w:p>
    <w:p w:rsidR="00213E8A" w:rsidRDefault="00213E8A" w:rsidP="00213E8A">
      <w:pPr>
        <w:spacing w:after="0" w:line="240" w:lineRule="auto"/>
        <w:jc w:val="both"/>
        <w:rPr>
          <w:rFonts w:ascii="Times New Roman" w:hAnsi="Times New Roman" w:cs="Times New Roman"/>
          <w:b/>
          <w:bCs/>
          <w:sz w:val="24"/>
          <w:szCs w:val="24"/>
        </w:rPr>
      </w:pPr>
    </w:p>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Таблица 70 – Наименование исторического поселения</w:t>
      </w:r>
    </w:p>
    <w:tbl>
      <w:tblPr>
        <w:tblW w:w="5000" w:type="pct"/>
        <w:jc w:val="center"/>
        <w:tblCellMar>
          <w:top w:w="102" w:type="dxa"/>
          <w:left w:w="62" w:type="dxa"/>
          <w:bottom w:w="102" w:type="dxa"/>
          <w:right w:w="62" w:type="dxa"/>
        </w:tblCellMar>
        <w:tblLook w:val="04A0" w:firstRow="1" w:lastRow="0" w:firstColumn="1" w:lastColumn="0" w:noHBand="0" w:noVBand="1"/>
      </w:tblPr>
      <w:tblGrid>
        <w:gridCol w:w="617"/>
        <w:gridCol w:w="2190"/>
        <w:gridCol w:w="2183"/>
        <w:gridCol w:w="4347"/>
      </w:tblGrid>
      <w:tr w:rsidR="00213E8A" w:rsidRPr="00213E8A" w:rsidTr="00213E8A">
        <w:trPr>
          <w:trHeight w:val="23"/>
          <w:jc w:val="center"/>
        </w:trPr>
        <w:tc>
          <w:tcPr>
            <w:tcW w:w="330"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lastRenderedPageBreak/>
              <w:t>№ п/п</w:t>
            </w:r>
          </w:p>
        </w:tc>
        <w:tc>
          <w:tcPr>
            <w:tcW w:w="1172"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Наименование исторического поселения</w:t>
            </w:r>
          </w:p>
        </w:tc>
        <w:tc>
          <w:tcPr>
            <w:tcW w:w="1169"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Дата основания исторического поселения</w:t>
            </w:r>
          </w:p>
        </w:tc>
        <w:tc>
          <w:tcPr>
            <w:tcW w:w="2328"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Место нахождения</w:t>
            </w:r>
          </w:p>
        </w:tc>
      </w:tr>
      <w:tr w:rsidR="00213E8A" w:rsidRPr="00213E8A" w:rsidTr="00213E8A">
        <w:trPr>
          <w:trHeight w:val="23"/>
          <w:jc w:val="center"/>
        </w:trPr>
        <w:tc>
          <w:tcPr>
            <w:tcW w:w="330"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b/>
                <w:bCs/>
                <w:sz w:val="24"/>
                <w:szCs w:val="24"/>
              </w:rPr>
            </w:pPr>
            <w:r w:rsidRPr="00213E8A">
              <w:rPr>
                <w:rFonts w:ascii="Times New Roman" w:hAnsi="Times New Roman" w:cs="Times New Roman"/>
                <w:b/>
                <w:bCs/>
                <w:sz w:val="24"/>
                <w:szCs w:val="24"/>
              </w:rPr>
              <w:t>7</w:t>
            </w:r>
          </w:p>
        </w:tc>
        <w:tc>
          <w:tcPr>
            <w:tcW w:w="1172"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Новоржев</w:t>
            </w:r>
          </w:p>
        </w:tc>
        <w:tc>
          <w:tcPr>
            <w:tcW w:w="1169"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1396 г.</w:t>
            </w:r>
          </w:p>
        </w:tc>
        <w:tc>
          <w:tcPr>
            <w:tcW w:w="2328" w:type="pct"/>
            <w:tcBorders>
              <w:top w:val="single" w:sz="4" w:space="0" w:color="auto"/>
              <w:left w:val="single" w:sz="4" w:space="0" w:color="auto"/>
              <w:bottom w:val="single" w:sz="4" w:space="0" w:color="auto"/>
              <w:right w:val="single" w:sz="4" w:space="0" w:color="auto"/>
            </w:tcBorders>
            <w:vAlign w:val="center"/>
          </w:tcPr>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Новоржевский район, город Новоржев, муниципальное образование «Новоржев»</w:t>
            </w:r>
          </w:p>
        </w:tc>
      </w:tr>
    </w:tbl>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Градостроительная, хозяйственная и иная деятельность в историческом поселении должна осуществляться при условии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в соответствии с настоящим Федеральным законом.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целях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Федеральным законом от 25.06.2002 № 73-ФЗ «Об объектах культурного наследия (памятниках истории и культуры) народов Российской Федерации».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Особое регулирование градостроительной деятельности в историческом поселении осуществляется органами местного самоуправления, а в субъектах Российской Федерации - городах федерального значения органами государственной власти субъектов Российской Федерации - городов федерального значения и включает в себя: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проведение анализа состояния территории исторического поселения, проблем и направлений ее устойчивого развития с учетом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определение перечня мероприятий по устойчивому развитию территории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3.1) разработку применительно к территориальным зонам, которые расположены за границами территории исторического поселения и в границах которых находятся точки (сектора) основных видовых раскрытий композиционно-видовых связей (панорам), составляющих предмет охраны исторического поселения, градостроительных регламентов, обеспечивающих сохранение таких точек (секторов);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обеспечение согласования в соответствии с настоящим Федеральным законом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Проекты генеральных планов, подготовленные применительно к территориям исторических поселений федерального значения и территориям исторических поселений регионального значения, подлежат согласованию соответственно с федеральным органом охраны объектов культурного наследия, региональным органом охраны объектов культурного наследия в соответствии с Градостроительным</w:t>
      </w:r>
      <w:r w:rsidRPr="00213E8A">
        <w:rPr>
          <w:rFonts w:ascii="Times New Roman" w:hAnsi="Times New Roman" w:cs="Times New Roman"/>
          <w:sz w:val="24"/>
          <w:szCs w:val="24"/>
          <w:lang w:val="en-US"/>
        </w:rPr>
        <w:t> </w:t>
      </w:r>
      <w:hyperlink r:id="rId38" w:anchor="dst624"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в</w:t>
      </w:r>
      <w:r w:rsidRPr="00213E8A">
        <w:rPr>
          <w:rFonts w:ascii="Times New Roman" w:hAnsi="Times New Roman" w:cs="Times New Roman"/>
          <w:sz w:val="24"/>
          <w:szCs w:val="24"/>
          <w:lang w:val="en-US"/>
        </w:rPr>
        <w:t> </w:t>
      </w:r>
      <w:hyperlink r:id="rId39"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 установленном уполномоченным Правительством Российской Федерации федеральным</w:t>
      </w:r>
      <w:r w:rsidRPr="00213E8A">
        <w:rPr>
          <w:rFonts w:ascii="Times New Roman" w:hAnsi="Times New Roman" w:cs="Times New Roman"/>
          <w:sz w:val="24"/>
          <w:szCs w:val="24"/>
          <w:lang w:val="en-US"/>
        </w:rPr>
        <w:t> </w:t>
      </w:r>
      <w:hyperlink r:id="rId40" w:anchor="dst100010" w:history="1">
        <w:r w:rsidRPr="00213E8A">
          <w:rPr>
            <w:rStyle w:val="a9"/>
            <w:rFonts w:ascii="Times New Roman" w:hAnsi="Times New Roman" w:cs="Times New Roman"/>
            <w:sz w:val="24"/>
            <w:szCs w:val="24"/>
          </w:rPr>
          <w:t>органом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 xml:space="preserve">исполнительной власти. Срок рассмотрения федеральным </w:t>
      </w:r>
      <w:r w:rsidRPr="00213E8A">
        <w:rPr>
          <w:rFonts w:ascii="Times New Roman" w:hAnsi="Times New Roman" w:cs="Times New Roman"/>
          <w:sz w:val="24"/>
          <w:szCs w:val="24"/>
        </w:rPr>
        <w:lastRenderedPageBreak/>
        <w:t>органом охраны объектов культурного наследия проекта генерального плана, подготовленного применительно к территориям исторических поселений федерального значения, не должен превышать двадцать календарных дней со дня поступления соответствующих документов от органа местного самоуправления. Срок рассмотрения региональным органом охраны объектов культурного наследия проекта генерального плана, подготовленного применительно к территориям исторических поселений регионального значения,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Проекты правил землепользования и застройки, подготовленные применительно к территориям исторических поселений федерального значения, подлежат согласованию с федеральным органом охраны объектов культурного наследия в установленном им</w:t>
      </w:r>
      <w:r w:rsidRPr="00213E8A">
        <w:rPr>
          <w:rFonts w:ascii="Times New Roman" w:hAnsi="Times New Roman" w:cs="Times New Roman"/>
          <w:sz w:val="24"/>
          <w:szCs w:val="24"/>
          <w:lang w:val="en-US"/>
        </w:rPr>
        <w:t> </w:t>
      </w:r>
      <w:hyperlink r:id="rId41"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 Срок рассмотрения федеральным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Проекты правил землепользования и застройки, подготовленные применительно к территориям исторических поселений регионального значения, подлежат согласованию с региональным органом охраны объектов культурного наследия в порядке, установленном законом субъекта Российской Федерации. Срок рассмотрения региональным органом охраны объектов культурного наследия проекта правил землепользования и застройки не должен превышать семь рабочих дней со дня поступления соответствующих документов от органа местного самоуправления.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Предметом согласования проектов генеральных планов, проектов правил землепользования и застройки, подготовленных применительно к территориям исторических поселений федерального значения и территориям исторических поселений регионального значения, является соответствие указанных проектов утвержденному предмету охраны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До утверждения правил землепользования и застройки, подготовленных применительно к территориям исторических поселений федерального значения, проекты планировки территорий и проекты межевания территорий в границах территории такого исторического поселения подлежат согласованию с федеральным органом охраны объектов культурного наследия в установленном им</w:t>
      </w:r>
      <w:r w:rsidRPr="00213E8A">
        <w:rPr>
          <w:rFonts w:ascii="Times New Roman" w:hAnsi="Times New Roman" w:cs="Times New Roman"/>
          <w:sz w:val="24"/>
          <w:szCs w:val="24"/>
          <w:lang w:val="en-US"/>
        </w:rPr>
        <w:t> </w:t>
      </w:r>
      <w:hyperlink r:id="rId42" w:anchor="dst100010" w:history="1">
        <w:r w:rsidRPr="00213E8A">
          <w:rPr>
            <w:rStyle w:val="a9"/>
            <w:rFonts w:ascii="Times New Roman" w:hAnsi="Times New Roman" w:cs="Times New Roman"/>
            <w:sz w:val="24"/>
            <w:szCs w:val="24"/>
          </w:rPr>
          <w:t>порядке</w:t>
        </w:r>
      </w:hyperlink>
      <w:r w:rsidRPr="00213E8A">
        <w:rPr>
          <w:rFonts w:ascii="Times New Roman" w:hAnsi="Times New Roman" w:cs="Times New Roman"/>
          <w:sz w:val="24"/>
          <w:szCs w:val="24"/>
        </w:rPr>
        <w:t>.</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Региональный орган охраны объектов культурного наследия в течение двадцати пяти дней со дня поступления от застройщика, технического заказчика либо органа или организации, уполномоченных в соответствии с Градостроительным</w:t>
      </w:r>
      <w:r w:rsidRPr="00213E8A">
        <w:rPr>
          <w:rFonts w:ascii="Times New Roman" w:hAnsi="Times New Roman" w:cs="Times New Roman"/>
          <w:sz w:val="24"/>
          <w:szCs w:val="24"/>
          <w:lang w:val="en-US"/>
        </w:rPr>
        <w:t> </w:t>
      </w:r>
      <w:hyperlink r:id="rId43"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соответственно застройщику, техническому заказчику, в орган или организацию, уполномоченные в соответствии с Градостроительным</w:t>
      </w:r>
      <w:r w:rsidRPr="00213E8A">
        <w:rPr>
          <w:rFonts w:ascii="Times New Roman" w:hAnsi="Times New Roman" w:cs="Times New Roman"/>
          <w:sz w:val="24"/>
          <w:szCs w:val="24"/>
          <w:lang w:val="en-US"/>
        </w:rPr>
        <w:t> </w:t>
      </w:r>
      <w:hyperlink r:id="rId44"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Российской Федерации на выдачу разрешений на строительство,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Направление органом или организацией, уполномоченными в соответствии с Градостроительным </w:t>
      </w:r>
      <w:hyperlink r:id="rId45"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rPr>
        <w:t> Российской Федерации на выдачу разрешений на строительство, указанного в </w:t>
      </w:r>
      <w:hyperlink r:id="rId46"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rPr>
        <w:t xml:space="preserve"> настоящей статьи раздела проектной документации объекта капитального строительства в региональный орган охраны объектов культурного наследия и направление региональным органом охраны объектов </w:t>
      </w:r>
      <w:r w:rsidRPr="00213E8A">
        <w:rPr>
          <w:rFonts w:ascii="Times New Roman" w:hAnsi="Times New Roman" w:cs="Times New Roman"/>
          <w:sz w:val="24"/>
          <w:szCs w:val="24"/>
        </w:rPr>
        <w:lastRenderedPageBreak/>
        <w:t>культурного наследия указанных в </w:t>
      </w:r>
      <w:hyperlink r:id="rId47"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rPr>
        <w:t> настоящей статьи заключений в орган или организацию, уполномоченные в соответствии с Градостроительным </w:t>
      </w:r>
      <w:hyperlink r:id="rId48" w:history="1">
        <w:r w:rsidRPr="00213E8A">
          <w:rPr>
            <w:rStyle w:val="a9"/>
            <w:rFonts w:ascii="Times New Roman" w:hAnsi="Times New Roman" w:cs="Times New Roman"/>
            <w:sz w:val="24"/>
            <w:szCs w:val="24"/>
          </w:rPr>
          <w:t>кодексом</w:t>
        </w:r>
      </w:hyperlink>
      <w:r w:rsidRPr="00213E8A">
        <w:rPr>
          <w:rFonts w:ascii="Times New Roman" w:hAnsi="Times New Roman" w:cs="Times New Roman"/>
          <w:sz w:val="24"/>
          <w:szCs w:val="24"/>
        </w:rPr>
        <w:t> Российской Федерации на выдачу разрешений на строительство, осуществляются в порядке межведомственного информационного взаимодействия.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Порядок предоставления застройщиком, техническим заказчиком указанного в</w:t>
      </w:r>
      <w:r w:rsidRPr="00213E8A">
        <w:rPr>
          <w:rFonts w:ascii="Times New Roman" w:hAnsi="Times New Roman" w:cs="Times New Roman"/>
          <w:sz w:val="24"/>
          <w:szCs w:val="24"/>
          <w:lang w:val="en-US"/>
        </w:rPr>
        <w:t> </w:t>
      </w:r>
      <w:hyperlink r:id="rId49"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настоящей статьи раздела проектной документации объекта капитального строительства, порядок рассмотрения указанного раздела проектной документации объекта капитального строительства, порядок выдачи и форма указанных в</w:t>
      </w:r>
      <w:r w:rsidRPr="00213E8A">
        <w:rPr>
          <w:rFonts w:ascii="Times New Roman" w:hAnsi="Times New Roman" w:cs="Times New Roman"/>
          <w:sz w:val="24"/>
          <w:szCs w:val="24"/>
          <w:lang w:val="en-US"/>
        </w:rPr>
        <w:t> </w:t>
      </w:r>
      <w:hyperlink r:id="rId50" w:anchor="dst883" w:history="1">
        <w:r w:rsidRPr="00213E8A">
          <w:rPr>
            <w:rStyle w:val="a9"/>
            <w:rFonts w:ascii="Times New Roman" w:hAnsi="Times New Roman" w:cs="Times New Roman"/>
            <w:sz w:val="24"/>
            <w:szCs w:val="24"/>
          </w:rPr>
          <w:t>пункте 9</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настоящей статьи заключений устанавливаются федеральным органом охраны объектов культурного наследия.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Региональный орган охраны объектов культурного наследия вправе разработать и утвердить типовые архитектурные решения объектов капитального строительства, в том числе объектов индивидуального жилищного строительства, для отдельных исторических поселений федерального или регионального значения, расположенных на территории соответствующего субъекта Российской Федерации. Региональный орган охраны объектов культурного наследия размещает типовые архитектурные решения объектов капитального строительства на своем официальном сайте в информационно-телекоммуникационной сети "Интернет" в течение десяти дней со дня их утверждения. Указанные типовые архитектурные решения должны быть доступны для ознакомления на таком сайте всем заинтересованным лицам без взимания платы.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Региональный орган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w:t>
      </w:r>
      <w:r w:rsidRPr="00213E8A">
        <w:rPr>
          <w:rFonts w:ascii="Times New Roman" w:hAnsi="Times New Roman" w:cs="Times New Roman"/>
          <w:sz w:val="24"/>
          <w:szCs w:val="24"/>
          <w:lang w:val="en-US"/>
        </w:rPr>
        <w:t> </w:t>
      </w:r>
      <w:hyperlink r:id="rId51" w:anchor="dst100017" w:history="1">
        <w:r w:rsidRPr="00213E8A">
          <w:rPr>
            <w:rStyle w:val="a9"/>
            <w:rFonts w:ascii="Times New Roman" w:hAnsi="Times New Roman" w:cs="Times New Roman"/>
            <w:sz w:val="24"/>
            <w:szCs w:val="24"/>
          </w:rPr>
          <w:t>уведомления</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о планируемых строительстве или реконструкции объекта индивидуального жилищного строительства или садового дома и описания внешнего облика объекта индивидуального жилищного строительства или садового дома, которые предусмотрены</w:t>
      </w:r>
      <w:r w:rsidRPr="00213E8A">
        <w:rPr>
          <w:rFonts w:ascii="Times New Roman" w:hAnsi="Times New Roman" w:cs="Times New Roman"/>
          <w:sz w:val="24"/>
          <w:szCs w:val="24"/>
          <w:lang w:val="en-US"/>
        </w:rPr>
        <w:t> </w:t>
      </w:r>
      <w:hyperlink r:id="rId52" w:anchor="dst2580" w:history="1">
        <w:r w:rsidRPr="00213E8A">
          <w:rPr>
            <w:rStyle w:val="a9"/>
            <w:rFonts w:ascii="Times New Roman" w:hAnsi="Times New Roman" w:cs="Times New Roman"/>
            <w:sz w:val="24"/>
            <w:szCs w:val="24"/>
          </w:rPr>
          <w:t>частью 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и</w:t>
      </w:r>
      <w:r w:rsidRPr="00213E8A">
        <w:rPr>
          <w:rFonts w:ascii="Times New Roman" w:hAnsi="Times New Roman" w:cs="Times New Roman"/>
          <w:sz w:val="24"/>
          <w:szCs w:val="24"/>
          <w:lang w:val="en-US"/>
        </w:rPr>
        <w:t> </w:t>
      </w:r>
      <w:hyperlink r:id="rId53" w:anchor="dst2595" w:history="1">
        <w:r w:rsidRPr="00213E8A">
          <w:rPr>
            <w:rStyle w:val="a9"/>
            <w:rFonts w:ascii="Times New Roman" w:hAnsi="Times New Roman" w:cs="Times New Roman"/>
            <w:sz w:val="24"/>
            <w:szCs w:val="24"/>
          </w:rPr>
          <w:t>пунктом 4 части 3 статьи 51.1</w:t>
        </w:r>
      </w:hyperlink>
      <w:r w:rsidRPr="00213E8A">
        <w:rPr>
          <w:rFonts w:ascii="Times New Roman" w:hAnsi="Times New Roman" w:cs="Times New Roman"/>
          <w:sz w:val="24"/>
          <w:szCs w:val="24"/>
          <w:lang w:val="en-US"/>
        </w:rPr>
        <w:t> </w:t>
      </w:r>
      <w:r w:rsidRPr="00213E8A">
        <w:rPr>
          <w:rFonts w:ascii="Times New Roman" w:hAnsi="Times New Roman" w:cs="Times New Roman"/>
          <w:sz w:val="24"/>
          <w:szCs w:val="24"/>
        </w:rPr>
        <w:t>Градостроительного кодекса Российской Федерации, рассматривает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указанные орган исполнительной власти или орган местного самоуправления уведомление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4" w:name="_Toc216434296"/>
      <w:r w:rsidRPr="00213E8A">
        <w:rPr>
          <w:rFonts w:ascii="Times New Roman" w:hAnsi="Times New Roman" w:cs="Times New Roman"/>
          <w:b/>
          <w:bCs/>
          <w:sz w:val="24"/>
          <w:szCs w:val="24"/>
        </w:rPr>
        <w:t>3.13.13. Придорожные полосы автомобильных дорог</w:t>
      </w:r>
      <w:bookmarkEnd w:id="144"/>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Согласно статье 26 «Придорожные полосы автомобильных дорог» </w:t>
      </w:r>
      <w:hyperlink r:id="rId54" w:history="1">
        <w:r w:rsidRPr="00213E8A">
          <w:rPr>
            <w:rStyle w:val="a9"/>
            <w:rFonts w:ascii="Times New Roman" w:hAnsi="Times New Roman" w:cs="Times New Roman"/>
            <w:sz w:val="24"/>
            <w:szCs w:val="24"/>
          </w:rPr>
          <w:t>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213E8A">
        <w:rPr>
          <w:rFonts w:ascii="Times New Roman" w:hAnsi="Times New Roman" w:cs="Times New Roman"/>
          <w:sz w:val="24"/>
          <w:szCs w:val="24"/>
        </w:rPr>
        <w:t xml:space="preserve"> </w:t>
      </w:r>
    </w:p>
    <w:p w:rsidR="00213E8A" w:rsidRPr="00213E8A" w:rsidRDefault="00213E8A" w:rsidP="00213E8A">
      <w:pPr>
        <w:spacing w:after="0" w:line="240" w:lineRule="auto"/>
        <w:jc w:val="both"/>
        <w:rPr>
          <w:rFonts w:ascii="Times New Roman" w:hAnsi="Times New Roman" w:cs="Times New Roman"/>
          <w:sz w:val="24"/>
          <w:szCs w:val="24"/>
        </w:rPr>
      </w:pPr>
      <w:bookmarkStart w:id="145" w:name="dst100285"/>
      <w:bookmarkEnd w:id="145"/>
      <w:r w:rsidRPr="00213E8A">
        <w:rPr>
          <w:rFonts w:ascii="Times New Roman" w:hAnsi="Times New Roman" w:cs="Times New Roman"/>
          <w:sz w:val="24"/>
          <w:szCs w:val="24"/>
        </w:rPr>
        <w:t>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семидесяти пяти метров - для автомобильных дорог первой и второй категорий;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2) пятидесяти метров - для автомобильных дорог третьей категории;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4)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частью 8 настоящей статьи не требуется.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Отказ в согласовании строительства, реконструкции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1) строительство, реконструкция объекта приведут к ухудшению видимости на автомобильной дороге и других условий безопасности дорожного движения;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rsidR="00213E8A" w:rsidRP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213E8A">
      <w:pPr>
        <w:spacing w:after="0" w:line="240" w:lineRule="auto"/>
        <w:jc w:val="center"/>
        <w:rPr>
          <w:rFonts w:ascii="Times New Roman" w:hAnsi="Times New Roman" w:cs="Times New Roman"/>
          <w:b/>
          <w:bCs/>
          <w:sz w:val="24"/>
          <w:szCs w:val="24"/>
        </w:rPr>
      </w:pPr>
      <w:bookmarkStart w:id="146" w:name="_Toc227763216"/>
      <w:bookmarkStart w:id="147" w:name="_Toc216434297"/>
      <w:r w:rsidRPr="00213E8A">
        <w:rPr>
          <w:rFonts w:ascii="Times New Roman" w:hAnsi="Times New Roman" w:cs="Times New Roman"/>
          <w:b/>
          <w:bCs/>
          <w:sz w:val="24"/>
          <w:szCs w:val="24"/>
        </w:rPr>
        <w:t>4. ВЫВОДЫ КОМПЛЕКСНОГО АНАЛИЗА ТЕРРИТОРИИ</w:t>
      </w:r>
      <w:bookmarkEnd w:id="146"/>
      <w:r w:rsidRPr="00213E8A">
        <w:rPr>
          <w:rFonts w:ascii="Times New Roman" w:hAnsi="Times New Roman" w:cs="Times New Roman"/>
          <w:b/>
          <w:bCs/>
          <w:sz w:val="24"/>
          <w:szCs w:val="24"/>
        </w:rPr>
        <w:t xml:space="preserve"> РАЙОНА</w:t>
      </w:r>
      <w:bookmarkEnd w:id="147"/>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Климатические условия территории благоприятны для гражданского и промышленного строительства и для развития рекреации.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Территория Новоржевского района является ограниченно благоприятной для градостроительного освоения. К территориям, благоприятным для градостроительного освоения относятся дренированные возвышенные участи холмисто-моренной равнины, с уровнем грунтовых вод более 2 м. К территориям, неблагоприятным для градостроительного освоения относятся около 2%.</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Развитие экологического, культурно-познавательного туризма и рекреации на территории Новоржевского района должно стать одним из направлений социально-экономического развития.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На территории Новоржеского района расположено 23 особо охраняемых природных территории, общей площадью около 14 тыс. га.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Санитарное состояние атмосферного воздуха Новоржевского района можно считать благополучным. Наиболее подвержены загрязнению атмосферного воздуха территории, расположенные вблизи автомагистралей.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Система подачи качественной питьевой воды находится не на совершенном уровне: необходимо строительство водоочистных сооружений, а также канализационных очистных сооружений; нуждаются в реконструкции физически изношенные инженерно-технические системы.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Радиационный фон района находится на стабильном уровне.</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Экологическая обстановка места размещения ТКО удовлетворительная. На территории района располагаются 6 несанкционированных свалок.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Новоржевский район относится к числу редко населенных районов. Сельское расселение района характеризуется относительно разреженной сетью средних по численности населенных пунктов. Основные оси расселения района ориентированы вдоль автодорог. Рисунок системы расселения в целом можно характеризовать как радиальный. Слабость межрадиальных связей, а также плохое транспортное сообщение удаленных поселений осложняет для населения пользование объектами социальной инфраструктуры. В связи с этим очевидна необходимость выделения в проектных решениях населенного пункта – подцентра системы расселения Новоржевского района для размещения ряда объектов социальной инфраструктуры районного значения для улучшения обслуживания населения удаленных населенных пунктов.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Демографическая ситуация в Новоржевском районе по основным показателям хуже среднеобластного уровня. Несмотря на некоторое снижение смертности, имеются предпосылки для дальнейшей депопуляции и старения населения. Продолжает активно сокращаться численность сельского населения, что потенциально ведет к вымиранию сельских населенных пунктов. Возрастная структура населения характеризуется высокой степенью постарения населения и сниженной долей лиц в трудоспособном возрасте. Отчасти это может быть связано с продолжающимся оттоком экономически активного населения, особенно молодежи, за пределы района. Наряду с мероприятиями по снижению смертности и повышению рождаемости району необходимо развитие привлекательных для молодежи видов экономической деятельности, повышение качества жизни.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Ситуацию в сфере занятости в целом по району нельзя считать благополучной. Более полному использованию трудовых ресурсов может способствовать улучшение транспортной связанности территории района и мероприятия по созданию новых рабочих мест.</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 сельскохозяйственным направлением района является молочно-мясное животноводство.</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Основными производителями сельскохозяйственной продукции являются сельскохозяйственные предприятия, крестьянские (фермерские) хозяйства и личные подсобные хозяйства. Сельскохозяйственную продукцию производят 10 сельхозпредприятий, а также работают 22 крестьянских (фермерских) хозяйства и более 3 тыс. личных подсобных хозяйств.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отрасли растениеводства набор возделываемых сельскохозяйственных культур достаточно ограничен: здесь выращивают лен долгунец, зерновые на фураж, картофель и кормовые травы.</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Особенностью района является низкая эффективность использования пахотных земель и наличие значительных площадей под залежью – около 15 % от всех земель сельхозугодий. Неиспользованные земли интенсивно зарастают древесно-кустарниковой растительностью, заболачиваются и закочкариваются.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В районе распространены бедные по содержанию питательных веществ подзолистые и дерново-подзолистые, суглинистые почвы, требующие известкования и внесения удобрений в значительных объемах.</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Урожаи сельскохозяйственных культур в районе достаточно низкие, по зерновым культурам они не превышали 13,0 ц/га, по картофелю – 120 ц/га. Причиной этому являлось низкое плодородие почв и недостаточно высокий уровень земледелия.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сельхозпредприятиях района поголовье крупного рогатого скота уменьшилось и соответственно, в результате валовое производство животноводческой продукции мяса сократилось.</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Сельскохозяйственное производство района находится в трудном экономическом положении, связанном с износом основных средств, диспаритетом цен на сельскохозяйственную промышленную продукцию, ростом тарифов на ГМС и электроэнергию, низкой производительностью труда.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настоящее время наблюдается общий дефицит мест в дошкольных учреждениях района в сравнении с их нормативно необходимым количеством. Сельские поселения района практически не обеспечены этим видом услуг. В городском поселении Новоржев обеспеченность местами в учреждениях дошкольного образования составляет 150 % от норматива, в сельской местности этот показатель не достигает и половины нормативного значения.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Необходима разработка комплексной целевой районной программы по развитию общедоступного дошкольного и общего образования.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настоящее время количество общеобразовательных учреждений района избыточно. Все сельские школы заполнены менее чем на 50 %. Низкая наполняемость классов в сельской местности в значительной мере обусловлена плохим транспортным сообщением в сельской местности и отсутствием у ряда школ автобусов для доставки школьников, что препятствует оптимизации сети учреждений.</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Новоржевском районе дополнительное образование представлено Новоржевским домом детского творчества, а также МОУ ДОД Детская школа искусств им. Б. С. Трояновского. Детско-юношеские спортивные школы отсутствуют среди учреждений дополнительного образования района. Новоржевский дом детского творчества находится в плохом техническом состоянии, требуется проведение капитального ремонта. В районе отмечается высокая обеспеченность дополнительным образованием детей. Необходимо проведение капитального ремонта Дома детского творчества. Также, поскольку в районе среди учреждений дополнительного образования отсутствуют детские и юношеские спортивные школы, а обеспеченность населения общедоступными спортивными объектами низкая (спортивные залы, площадки, футбольные поля, волейбольные площадки), то в соответствии с нормативами возможна организация детско-юношеской спортивной школы. По «Социальным нормативам и нормам» (в ред. Распоряжения Правительства РФ от 14.07.2001 № 942-р) норматив охвата занимающихся в детских и юношеских спортивных школах составляет 20% от числа детей и подростков в возрасте 6-15 лет. Следовательно, здание для детско-юношеской спортивной школы, может быть рассчитано на 150-200 человек.</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Обеспеченность поликлиническим обслуживанием в районе соответствует нормативному значению. С учетом того, что часть специализированной медицинской помощи оказывается в учреждениях здравоохранения Острова и Пскова, численность медицинского персонала района может быть немного ниже нормативной. С учетом развития стационар-заменяющих технологий и некоторого сокращения больничных коек в больничных учреждениях, особо актуально улучшения качества амбулаторно-поликлинических услуг. Также необходимо поддерживать материально-техническую базу учреждений здравоохранения.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lastRenderedPageBreak/>
        <w:t>В целом в сельской местности района нормативные показатели обеспеченности населения книжным фондом общедоступных библиотек существенно превышены. Выше нормативного уровня и обеспеченность местами в учреждениях клубного типа.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Новоржеве и отдельных сельских населенных пунктах, связанных с развитием рекреационно-туристской деятельности и обслуживанием транзитных потоков грузов целесообразно предусматривать возможности для развития предприятий общественного питания, в т.ч. содействовать развитию малого бизнеса.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районе отмечается положительная динамика строительства нового жилья (в среднем 2000 кв. м. нового строительства в год). Она обеспечивается за счет индивидуального, коттеджного и усадебного строительства. Городской жилфонд района характеризуется высокой долей деревянных одноэтажных домов, типичных для сельского образа жизни. Этот фактор оказывает влияние и на невысокий уровень обеспеченности жилфонда различными видами инженерного благоустройства.</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Транспортное обслуживание района осуществляется только автомобильным транспортом. Район имеет разветвленную сеть автомобильных дорог общего пользования, по отношению к которым практически вся территория муниципального района находится в благоприятной зоне. Большинство населенных пунктов муниципального района попадают в зону благоприятной транспортной доступности при использовании как легкового автомобиля, так и автобуса. Сеть автобусных маршрутов должна быть укомплектована достаточным количеством подвижного состава с таким расчетом, чтобы обеспечить ее конкурентоспособность с легковым транспортом. Следует обратить внимание на повышение качества автобусных перевозок, в том числе и за счет сооружения автовокзалов, автостанций и остановочных пунктов.</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Техническое состояние водопроводных сетей и сооружений (износ) снижает уровень подготовки воды питьевого качества. Сети и сооружения водопровода нуждаются в реконструкции, модернизации, ремонте. Отсутствуют зоны санитарной охраны второго и третьего поясов источников водоснабжения.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Степень развития систем канализации в сельских населенных пунктах района находится на недостаточном уровне. Централизованные системы канализации отсутствуют. Сточные воды собираются в выгреба или септики, либо отводятся канализационными сетями со сбросом в водоемы без очистки и обеззараживания. Требуется строительство централизованных и децентрализованных систем канализации в населенных пунктах поселения.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Электроснабжение потребителей Новоржевского района Псковской области осуществляется от Псковского филиала ПАО «Россети Северо-Запад». На территории района расположены: ПС 110 кВ Новоржев (ПС 284); ПС 35 кВ Вехно (ПС 21); ПС 35 кВ Адорье (ПС 60); ПС 35 кВ Жадрицы (ПС 24); ПС 35 кВ Выбор (ПС 16). По территории района проходят воздушные линии электропередачи 10 кВ и 35 кВ. все линии введены в эксплуатацию в 1977-1988 гг.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Теплоснабжение населенных пунктов Новоржевского района осуществляется децентрализованно – от мелких котельных и от индивидуальных источников теплоты. Основной вид топлива – уголь, дрова, электроэнергия, установленные котлы - Луга, Универсал, КВТС, ЭКЛЗ-100. Котельные введены в эксплуатацию - в 1980-1993 гг. Степень износа котлооборудования и тепловых сетей от котельных – значительная.</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В настоящее время природный газ в населенные пункты Новоржевского района не подан. Для бытовых нужд населения используется баллонный сжиженный газ (СУГ).</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xml:space="preserve">Территория Новоржевского района находится в зоне уверенного приема 3-х радиотелевизионных станций. Согласно Федеральной целевой программе «Развитие телерадиовещания в РФ в 2009-2015 гг.» Псковская область входит во вторую очередь строительства сети цифрового вещания в формате DVB-T (2011-2012 гг.). В соответствии с системным проектом сети ЦТВ размещение технических средств </w:t>
      </w:r>
      <w:r w:rsidRPr="00213E8A">
        <w:rPr>
          <w:rFonts w:ascii="Times New Roman" w:hAnsi="Times New Roman" w:cs="Times New Roman"/>
          <w:sz w:val="24"/>
          <w:szCs w:val="24"/>
        </w:rPr>
        <w:lastRenderedPageBreak/>
        <w:t xml:space="preserve">планируется на существующей РТС города Новоржев и на вновь строящейся РТС в д. Выбор Новоржевского района. </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Основными задачами развития средств связи, телекоммуникаций, информационных технологий и теле и радиовещания должны стать:</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развитие рынка услуг телефонной связи общего пользования и сотовой телефонии, особенно в сельской местности, обновление технической базы телефонной связи с переходом на цифровые АТС и оптические кабели;</w:t>
      </w:r>
    </w:p>
    <w:p w:rsidR="00213E8A" w:rsidRP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 развитие сети почтовой связи и расширение новых видов услуг: электронной почты, пунктов Internet для населения на основе автоматизированной сети связи области.</w:t>
      </w:r>
    </w:p>
    <w:p w:rsidR="00213E8A" w:rsidRDefault="00213E8A" w:rsidP="00213E8A">
      <w:pPr>
        <w:spacing w:after="0" w:line="240" w:lineRule="auto"/>
        <w:jc w:val="both"/>
        <w:rPr>
          <w:rFonts w:ascii="Times New Roman" w:hAnsi="Times New Roman" w:cs="Times New Roman"/>
          <w:sz w:val="24"/>
          <w:szCs w:val="24"/>
        </w:rPr>
      </w:pPr>
    </w:p>
    <w:p w:rsidR="00213E8A" w:rsidRPr="00213E8A" w:rsidRDefault="00213E8A" w:rsidP="00DA5C72">
      <w:pPr>
        <w:spacing w:after="0" w:line="240" w:lineRule="auto"/>
        <w:jc w:val="center"/>
        <w:rPr>
          <w:rFonts w:ascii="Times New Roman" w:hAnsi="Times New Roman" w:cs="Times New Roman"/>
          <w:b/>
          <w:bCs/>
          <w:sz w:val="24"/>
          <w:szCs w:val="24"/>
        </w:rPr>
      </w:pPr>
      <w:bookmarkStart w:id="148" w:name="_Toc216434298"/>
      <w:r w:rsidRPr="00213E8A">
        <w:rPr>
          <w:rFonts w:ascii="Times New Roman" w:hAnsi="Times New Roman" w:cs="Times New Roman"/>
          <w:b/>
          <w:bCs/>
          <w:sz w:val="24"/>
          <w:szCs w:val="24"/>
        </w:rPr>
        <w:t>УТВЕРЖДЕННЫЕ ДОКУМЕНТАМИ ТЕРРИТОРИАЛЬНОГО ПЛАНИРОВАНИЯ РОССИЙСКОЙ ФЕДЕРАЦИИ, ДОКУМЕНТАМИ ТЕРРИТОРИАЛЬНОГО ПЛАНИРОВАНИЯ ПСКОВСКОЙ ОБЛАСТИ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w:t>
      </w:r>
      <w:bookmarkEnd w:id="148"/>
    </w:p>
    <w:p w:rsidR="00213E8A" w:rsidRPr="00213E8A" w:rsidRDefault="00213E8A" w:rsidP="00213E8A">
      <w:pPr>
        <w:spacing w:after="0" w:line="240" w:lineRule="auto"/>
        <w:jc w:val="both"/>
        <w:rPr>
          <w:rFonts w:ascii="Times New Roman" w:hAnsi="Times New Roman" w:cs="Times New Roman"/>
          <w:sz w:val="24"/>
          <w:szCs w:val="24"/>
        </w:rPr>
      </w:pPr>
    </w:p>
    <w:p w:rsidR="00213E8A" w:rsidRDefault="00213E8A" w:rsidP="00213E8A">
      <w:pPr>
        <w:spacing w:after="0" w:line="240" w:lineRule="auto"/>
        <w:jc w:val="both"/>
        <w:rPr>
          <w:rFonts w:ascii="Times New Roman" w:hAnsi="Times New Roman" w:cs="Times New Roman"/>
          <w:sz w:val="24"/>
          <w:szCs w:val="24"/>
        </w:rPr>
      </w:pPr>
      <w:r w:rsidRPr="00213E8A">
        <w:rPr>
          <w:rFonts w:ascii="Times New Roman" w:hAnsi="Times New Roman" w:cs="Times New Roman"/>
          <w:sz w:val="24"/>
          <w:szCs w:val="24"/>
        </w:rPr>
        <w:t>Постановлением Правительства Псковской области №153 от 23.04.2025 г «О внесении изменений в Схему территориального планирования Псковской области утверждены мероприятия по строительству и реконструкции объектов капитального строительства на территории Новоржевского муниципального района Псковской области.</w:t>
      </w: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pPr>
    </w:p>
    <w:p w:rsidR="00DA5C72" w:rsidRDefault="00DA5C72" w:rsidP="00213E8A">
      <w:pPr>
        <w:spacing w:after="0" w:line="240" w:lineRule="auto"/>
        <w:jc w:val="both"/>
        <w:rPr>
          <w:rFonts w:ascii="Times New Roman" w:hAnsi="Times New Roman" w:cs="Times New Roman"/>
          <w:sz w:val="24"/>
          <w:szCs w:val="24"/>
        </w:rPr>
        <w:sectPr w:rsidR="00DA5C72" w:rsidSect="00B039E0">
          <w:pgSz w:w="11906" w:h="16838"/>
          <w:pgMar w:top="1134" w:right="992" w:bottom="1134" w:left="1701" w:header="709" w:footer="709" w:gutter="0"/>
          <w:cols w:space="708"/>
          <w:docGrid w:linePitch="360"/>
        </w:sect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Таблица 7</w:t>
      </w:r>
      <w:r w:rsidRPr="00DA5C72">
        <w:rPr>
          <w:rFonts w:ascii="Times New Roman" w:hAnsi="Times New Roman" w:cs="Times New Roman"/>
          <w:b/>
          <w:bCs/>
          <w:sz w:val="24"/>
          <w:szCs w:val="24"/>
        </w:rPr>
        <w:fldChar w:fldCharType="begin"/>
      </w:r>
      <w:r w:rsidRPr="00DA5C72">
        <w:rPr>
          <w:rFonts w:ascii="Times New Roman" w:hAnsi="Times New Roman" w:cs="Times New Roman"/>
          <w:b/>
          <w:bCs/>
          <w:sz w:val="24"/>
          <w:szCs w:val="24"/>
        </w:rPr>
        <w:instrText xml:space="preserve"> SEQ Таблица \* ARABIC </w:instrText>
      </w:r>
      <w:r w:rsidRPr="00DA5C72">
        <w:rPr>
          <w:rFonts w:ascii="Times New Roman" w:hAnsi="Times New Roman" w:cs="Times New Roman"/>
          <w:b/>
          <w:bCs/>
          <w:sz w:val="24"/>
          <w:szCs w:val="24"/>
        </w:rPr>
        <w:fldChar w:fldCharType="separate"/>
      </w:r>
      <w:r w:rsidR="00052452">
        <w:rPr>
          <w:rFonts w:ascii="Times New Roman" w:hAnsi="Times New Roman" w:cs="Times New Roman"/>
          <w:b/>
          <w:bCs/>
          <w:noProof/>
          <w:sz w:val="24"/>
          <w:szCs w:val="24"/>
        </w:rPr>
        <w:t>1</w:t>
      </w:r>
      <w:r w:rsidRPr="00DA5C72">
        <w:rPr>
          <w:rFonts w:ascii="Times New Roman" w:hAnsi="Times New Roman" w:cs="Times New Roman"/>
          <w:sz w:val="24"/>
          <w:szCs w:val="24"/>
        </w:rPr>
        <w:fldChar w:fldCharType="end"/>
      </w:r>
      <w:r w:rsidRPr="00DA5C72">
        <w:rPr>
          <w:rFonts w:ascii="Times New Roman" w:hAnsi="Times New Roman" w:cs="Times New Roman"/>
          <w:b/>
          <w:bCs/>
          <w:sz w:val="24"/>
          <w:szCs w:val="24"/>
        </w:rPr>
        <w:t xml:space="preserve"> – Перечень объектов</w:t>
      </w:r>
    </w:p>
    <w:tbl>
      <w:tblPr>
        <w:tblW w:w="136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14"/>
        <w:gridCol w:w="2058"/>
        <w:gridCol w:w="2404"/>
        <w:gridCol w:w="3183"/>
        <w:gridCol w:w="1939"/>
        <w:gridCol w:w="1908"/>
      </w:tblGrid>
      <w:tr w:rsidR="00DA5C72" w:rsidRPr="00DA5C72" w:rsidTr="00DA5C72">
        <w:trPr>
          <w:trHeight w:val="23"/>
          <w:tblHeader/>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 согласно СТП Псковской области</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Наименование</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Краткая характеристика объекта/</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протяженность (км)</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Местоположение планируемого объекта</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Ориентировочный срок</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строительства</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Характеристика</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ЗОУИТ</w:t>
            </w:r>
          </w:p>
        </w:tc>
      </w:tr>
      <w:tr w:rsidR="00DA5C72" w:rsidRPr="00DA5C72" w:rsidTr="00DA5C72">
        <w:trPr>
          <w:trHeight w:val="23"/>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val="en-US"/>
              </w:rPr>
            </w:pPr>
            <w:r w:rsidRPr="00DA5C72">
              <w:rPr>
                <w:rFonts w:ascii="Times New Roman" w:hAnsi="Times New Roman" w:cs="Times New Roman"/>
                <w:b/>
                <w:bCs/>
                <w:sz w:val="24"/>
                <w:szCs w:val="24"/>
                <w:lang w:bidi="ru-RU"/>
              </w:rPr>
              <w:t>1.</w:t>
            </w:r>
            <w:r w:rsidRPr="00DA5C72">
              <w:rPr>
                <w:rFonts w:ascii="Times New Roman" w:hAnsi="Times New Roman" w:cs="Times New Roman"/>
                <w:b/>
                <w:bCs/>
                <w:sz w:val="24"/>
                <w:szCs w:val="24"/>
                <w:lang w:val="en-US"/>
              </w:rPr>
              <w:t>1.23</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Реконструкция автомобильной дороги общего пользования регионального значения от а/д Пушкинские Горы - Локня на км 41+496 до дер. Вехно</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1,04</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2036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Устанавливается придорожная полоса, размеры придорожной полосы определяются проектом</w:t>
            </w:r>
          </w:p>
        </w:tc>
      </w:tr>
      <w:tr w:rsidR="00DA5C72" w:rsidRPr="00DA5C72" w:rsidTr="00DA5C72">
        <w:trPr>
          <w:trHeight w:val="23"/>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4.3.54</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12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Веска</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75"/>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4.2.55</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Вехно</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75"/>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4.2.57</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Фельдшерско- акушерский пункт</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15 посещений в смену</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д. Стехново</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lastRenderedPageBreak/>
              <w:t>7.1.11</w:t>
            </w:r>
          </w:p>
          <w:p w:rsidR="00DA5C72" w:rsidRPr="00DA5C72" w:rsidRDefault="00DA5C72" w:rsidP="00DA5C72">
            <w:pPr>
              <w:spacing w:after="0" w:line="240" w:lineRule="auto"/>
              <w:jc w:val="both"/>
              <w:rPr>
                <w:rFonts w:ascii="Times New Roman" w:hAnsi="Times New Roman" w:cs="Times New Roman"/>
                <w:b/>
                <w:bCs/>
                <w:sz w:val="24"/>
                <w:szCs w:val="24"/>
                <w:lang w:bidi="ru-RU"/>
              </w:rPr>
            </w:pP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Строительство здания пожарного депо</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4 машиновыезда</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г. Новоржев</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13.2.3</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Строительство модульного ветеринарного пункта</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88 кв. м. Оказание ветеринарных услуг населению муниципального образования</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г. Новоржев, ул. Р.-Крестьянская, д. 2</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2036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Установление ЗОУИТ в связи с размещением объекта не требуется</w:t>
            </w:r>
          </w:p>
        </w:tc>
      </w:tr>
      <w:tr w:rsidR="00DA5C72" w:rsidRPr="00DA5C72" w:rsidTr="00DA5C72">
        <w:trPr>
          <w:trHeight w:val="1061"/>
        </w:trPr>
        <w:tc>
          <w:tcPr>
            <w:tcW w:w="211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8.2.15</w:t>
            </w:r>
          </w:p>
        </w:tc>
        <w:tc>
          <w:tcPr>
            <w:tcW w:w="205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Рекультивация объекта размещения твердых коммунальных отходов</w:t>
            </w:r>
          </w:p>
        </w:tc>
        <w:tc>
          <w:tcPr>
            <w:tcW w:w="2404"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Площадь 2 га</w:t>
            </w:r>
          </w:p>
        </w:tc>
        <w:tc>
          <w:tcPr>
            <w:tcW w:w="3183"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Новоржевский муниципальный округ, вблизи д. Большая Пожня</w:t>
            </w:r>
          </w:p>
        </w:tc>
        <w:tc>
          <w:tcPr>
            <w:tcW w:w="1939"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2030 г.</w:t>
            </w:r>
          </w:p>
        </w:tc>
        <w:tc>
          <w:tcPr>
            <w:tcW w:w="1908" w:type="dxa"/>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Определяется проектом СЗЗ объекта. По итогам выполнения работ  СЗЗ может быть ликвидирована или сокращена</w:t>
            </w:r>
          </w:p>
        </w:tc>
      </w:tr>
    </w:tbl>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pPr>
    </w:p>
    <w:p w:rsidR="00DA5C72" w:rsidRDefault="00DA5C72" w:rsidP="00F022FE">
      <w:pPr>
        <w:spacing w:after="0" w:line="240" w:lineRule="auto"/>
        <w:jc w:val="both"/>
        <w:rPr>
          <w:rFonts w:ascii="Times New Roman" w:hAnsi="Times New Roman" w:cs="Times New Roman"/>
          <w:sz w:val="24"/>
          <w:szCs w:val="24"/>
        </w:rPr>
        <w:sectPr w:rsidR="00DA5C72" w:rsidSect="00DA5C72">
          <w:pgSz w:w="16838" w:h="11906" w:orient="landscape"/>
          <w:pgMar w:top="1701" w:right="1134" w:bottom="992" w:left="1134" w:header="709" w:footer="709" w:gutter="0"/>
          <w:cols w:space="708"/>
          <w:docGrid w:linePitch="360"/>
        </w:sectPr>
      </w:pPr>
      <w:r>
        <w:rPr>
          <w:rFonts w:ascii="Times New Roman" w:hAnsi="Times New Roman" w:cs="Times New Roman"/>
          <w:sz w:val="24"/>
          <w:szCs w:val="24"/>
        </w:rPr>
        <w:t xml:space="preserve">   </w:t>
      </w:r>
    </w:p>
    <w:p w:rsidR="00DA5C72" w:rsidRPr="00DA5C72" w:rsidRDefault="00DA5C72" w:rsidP="00DA5C72">
      <w:pPr>
        <w:spacing w:after="0" w:line="240" w:lineRule="auto"/>
        <w:jc w:val="center"/>
        <w:rPr>
          <w:rFonts w:ascii="Times New Roman" w:hAnsi="Times New Roman" w:cs="Times New Roman"/>
          <w:b/>
          <w:bCs/>
          <w:sz w:val="24"/>
          <w:szCs w:val="24"/>
        </w:rPr>
      </w:pPr>
      <w:bookmarkStart w:id="149" w:name="_Toc216434299"/>
      <w:r w:rsidRPr="00DA5C72">
        <w:rPr>
          <w:rFonts w:ascii="Times New Roman" w:hAnsi="Times New Roman" w:cs="Times New Roman"/>
          <w:b/>
          <w:bCs/>
          <w:sz w:val="24"/>
          <w:szCs w:val="24"/>
        </w:rPr>
        <w:lastRenderedPageBreak/>
        <w:t>6. ПЕРЕЧЕНЬ ОСНОВНЫХ ФАКТОРОВ РИСКА ВОЗНИКНОВЕНИЯ ЧРЕЗВЫЧАЙНЫХ СИТУАЦИЙ ПРИРОДНОГО И ТЕХНОГЕННОГО ХАРАКТЕРА</w:t>
      </w:r>
      <w:bookmarkEnd w:id="149"/>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Сегодня на территории Новоржевского района имеют место опасности и угрозы различного характера, которые обуславливают необходимость принятия мер по защите от них населения и территорий.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Планирование и реализация этих мер по защите населения и территорий требуют, прежде всего, выявления этих опасностей и угроз, их характера, степени риска для конкретных территорий, что позволит сконцентрировать усилия на наиболее опасных направлениях.</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На территории объекта градостроительной деятельности расположена ПСЧ-18 ГКУ Псковской области «Управление обеспечения деятельности в чрезвычайных ситуациях» (далее - ПСЧ № 18) по адресу: ул. Рабоче</w:t>
      </w:r>
      <w:r w:rsidRPr="00DA5C72">
        <w:rPr>
          <w:rFonts w:ascii="Times New Roman" w:hAnsi="Times New Roman" w:cs="Times New Roman"/>
          <w:sz w:val="24"/>
          <w:szCs w:val="24"/>
          <w:lang w:bidi="ru-RU"/>
        </w:rPr>
        <w:softHyphen/>
        <w:t>Крестьянская, 73, г. Новоржев, Новоржевский район, Псковская область. В ее составе</w:t>
      </w:r>
      <w:r w:rsidRPr="00DA5C72">
        <w:rPr>
          <w:rFonts w:ascii="Times New Roman" w:hAnsi="Times New Roman" w:cs="Times New Roman"/>
          <w:sz w:val="24"/>
          <w:szCs w:val="24"/>
        </w:rPr>
        <w:t xml:space="preserve"> 4 пожарных автомобиля и 1 цистерна. Кроме того, на базе СПК «Жадрицы», СПК «Свобода», СПК «Выбор», а также недействующего в настоящее время СПК им. Германа сформированы добровольные дружины на 1 пожарный автомобиль (хранение автомобилей - уличное).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Новоржевский район нуждается в создании дополнительных </w:t>
      </w:r>
      <w:r w:rsidRPr="00DA5C72">
        <w:rPr>
          <w:rFonts w:ascii="Times New Roman" w:hAnsi="Times New Roman" w:cs="Times New Roman"/>
          <w:b/>
          <w:bCs/>
          <w:i/>
          <w:iCs/>
          <w:sz w:val="24"/>
          <w:szCs w:val="24"/>
        </w:rPr>
        <w:t>пожарных депо</w:t>
      </w:r>
      <w:r w:rsidRPr="00DA5C72">
        <w:rPr>
          <w:rFonts w:ascii="Times New Roman" w:hAnsi="Times New Roman" w:cs="Times New Roman"/>
          <w:sz w:val="24"/>
          <w:szCs w:val="24"/>
        </w:rPr>
        <w:t>, что позволит обеспечить нормативное время прибытия к месту вызова. Проектом предлагается разместить пожарные депо в следующих населенных пунктах: г. Новоржев, д. Выбор, д. Веска, д. Вехно, д. Барута и д. Жадрицы.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Перечнем потенциально опасных объектов, расположенных на территории Псковской области, утвержденным Министром Российской Федерации по делам гражданской обороны, чрезвычайным ситуациям и ликвидации последствий стихийных бедствий от 04.02.2025г., на территории Новоржевского района находится 1 потенциально опасный объект в д. Выбор (Металлическая башня РТС).</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72 - Перечень АЗС на территории Новоржевского района</w:t>
      </w:r>
    </w:p>
    <w:tbl>
      <w:tblPr>
        <w:tblW w:w="5000" w:type="pct"/>
        <w:jc w:val="center"/>
        <w:tblCellMar>
          <w:left w:w="10" w:type="dxa"/>
          <w:right w:w="10" w:type="dxa"/>
        </w:tblCellMar>
        <w:tblLook w:val="04A0" w:firstRow="1" w:lastRow="0" w:firstColumn="1" w:lastColumn="0" w:noHBand="0" w:noVBand="1"/>
      </w:tblPr>
      <w:tblGrid>
        <w:gridCol w:w="577"/>
        <w:gridCol w:w="2876"/>
        <w:gridCol w:w="2324"/>
        <w:gridCol w:w="1728"/>
        <w:gridCol w:w="1728"/>
      </w:tblGrid>
      <w:tr w:rsidR="00DA5C72" w:rsidRPr="00DA5C72" w:rsidTr="00DA5C72">
        <w:trPr>
          <w:trHeight w:val="23"/>
          <w:jc w:val="center"/>
        </w:trPr>
        <w:tc>
          <w:tcPr>
            <w:tcW w:w="377"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п/п</w:t>
            </w:r>
          </w:p>
        </w:tc>
        <w:tc>
          <w:tcPr>
            <w:tcW w:w="1622"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Наименование и месторасположение объекта</w:t>
            </w:r>
          </w:p>
        </w:tc>
        <w:tc>
          <w:tcPr>
            <w:tcW w:w="100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Наименование</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предприятия</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(организации)</w:t>
            </w:r>
          </w:p>
        </w:tc>
        <w:tc>
          <w:tcPr>
            <w:tcW w:w="100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Юридический</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адрес</w:t>
            </w:r>
          </w:p>
        </w:tc>
        <w:tc>
          <w:tcPr>
            <w:tcW w:w="1000" w:type="pct"/>
            <w:tcBorders>
              <w:top w:val="single" w:sz="4" w:space="0" w:color="auto"/>
              <w:left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Количество и вид опасного вещества</w:t>
            </w:r>
          </w:p>
        </w:tc>
      </w:tr>
      <w:tr w:rsidR="00DA5C72" w:rsidRPr="00DA5C72" w:rsidTr="00DA5C72">
        <w:trPr>
          <w:trHeight w:val="23"/>
          <w:jc w:val="center"/>
        </w:trPr>
        <w:tc>
          <w:tcPr>
            <w:tcW w:w="377"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w:t>
            </w:r>
          </w:p>
        </w:tc>
        <w:tc>
          <w:tcPr>
            <w:tcW w:w="1622"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АЗС №21 «Новоржев» г. Новоржев, Псковская обл.</w:t>
            </w:r>
          </w:p>
        </w:tc>
        <w:tc>
          <w:tcPr>
            <w:tcW w:w="100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Сургутнефтегаз ООО «Псковнефтепродукт»</w:t>
            </w:r>
          </w:p>
        </w:tc>
        <w:tc>
          <w:tcPr>
            <w:tcW w:w="100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Псковская область, г. Новоржев, ул. Пушкина, д. 149</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Бензин Аи-92 - 25 куб.м.</w:t>
            </w:r>
          </w:p>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Бензин Аи-95- 25 куб.м.</w:t>
            </w:r>
          </w:p>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ДТ - 10 куб.м.</w:t>
            </w:r>
          </w:p>
        </w:tc>
      </w:tr>
    </w:tbl>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73 - Перечень потенциально-опасных объектов, прошедших проверку по сведениям Адресного реестра</w:t>
      </w:r>
    </w:p>
    <w:tbl>
      <w:tblPr>
        <w:tblW w:w="5000" w:type="pct"/>
        <w:jc w:val="center"/>
        <w:tblCellMar>
          <w:left w:w="40" w:type="dxa"/>
          <w:right w:w="40" w:type="dxa"/>
        </w:tblCellMar>
        <w:tblLook w:val="04A0" w:firstRow="1" w:lastRow="0" w:firstColumn="1" w:lastColumn="0" w:noHBand="0" w:noVBand="1"/>
      </w:tblPr>
      <w:tblGrid>
        <w:gridCol w:w="392"/>
        <w:gridCol w:w="1532"/>
        <w:gridCol w:w="661"/>
        <w:gridCol w:w="1245"/>
        <w:gridCol w:w="574"/>
        <w:gridCol w:w="2431"/>
        <w:gridCol w:w="1532"/>
        <w:gridCol w:w="926"/>
      </w:tblGrid>
      <w:tr w:rsidR="00DA5C72" w:rsidRPr="00DA5C72" w:rsidTr="00DA5C72">
        <w:trPr>
          <w:trHeight w:val="23"/>
          <w:jc w:val="center"/>
        </w:trPr>
        <w:tc>
          <w:tcPr>
            <w:tcW w:w="21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663"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w:t>
            </w:r>
          </w:p>
        </w:tc>
        <w:tc>
          <w:tcPr>
            <w:tcW w:w="379"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xml:space="preserve">Адрес </w:t>
            </w:r>
          </w:p>
        </w:tc>
        <w:tc>
          <w:tcPr>
            <w:tcW w:w="874"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и дата постанов</w:t>
            </w:r>
            <w:r w:rsidRPr="00DA5C72">
              <w:rPr>
                <w:rFonts w:ascii="Times New Roman" w:hAnsi="Times New Roman" w:cs="Times New Roman"/>
                <w:b/>
                <w:bCs/>
                <w:sz w:val="24"/>
                <w:szCs w:val="24"/>
              </w:rPr>
              <w:softHyphen/>
              <w:t>ления о присвоении адреса</w:t>
            </w:r>
          </w:p>
        </w:tc>
        <w:tc>
          <w:tcPr>
            <w:tcW w:w="603"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теле</w:t>
            </w:r>
            <w:r w:rsidRPr="00DA5C72">
              <w:rPr>
                <w:rFonts w:ascii="Times New Roman" w:hAnsi="Times New Roman" w:cs="Times New Roman"/>
                <w:b/>
                <w:bCs/>
                <w:sz w:val="24"/>
                <w:szCs w:val="24"/>
              </w:rPr>
              <w:softHyphen/>
              <w:t>фона</w:t>
            </w:r>
          </w:p>
        </w:tc>
        <w:tc>
          <w:tcPr>
            <w:tcW w:w="84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Вид опасно</w:t>
            </w:r>
            <w:r w:rsidRPr="00DA5C72">
              <w:rPr>
                <w:rFonts w:ascii="Times New Roman" w:hAnsi="Times New Roman" w:cs="Times New Roman"/>
                <w:b/>
                <w:bCs/>
                <w:sz w:val="24"/>
                <w:szCs w:val="24"/>
              </w:rPr>
              <w:softHyphen/>
              <w:t>сти (химиче</w:t>
            </w:r>
            <w:r w:rsidRPr="00DA5C72">
              <w:rPr>
                <w:rFonts w:ascii="Times New Roman" w:hAnsi="Times New Roman" w:cs="Times New Roman"/>
                <w:b/>
                <w:bCs/>
                <w:sz w:val="24"/>
                <w:szCs w:val="24"/>
              </w:rPr>
              <w:softHyphen/>
              <w:t>ски опасные, взрывопожароопасные)</w:t>
            </w:r>
          </w:p>
        </w:tc>
        <w:tc>
          <w:tcPr>
            <w:tcW w:w="90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и количество хранимых, опасных ве</w:t>
            </w:r>
            <w:r w:rsidRPr="00DA5C72">
              <w:rPr>
                <w:rFonts w:ascii="Times New Roman" w:hAnsi="Times New Roman" w:cs="Times New Roman"/>
                <w:b/>
                <w:bCs/>
                <w:sz w:val="24"/>
                <w:szCs w:val="24"/>
              </w:rPr>
              <w:softHyphen/>
              <w:t>ществ (тн.)</w:t>
            </w:r>
          </w:p>
        </w:tc>
        <w:tc>
          <w:tcPr>
            <w:tcW w:w="508" w:type="pct"/>
            <w:tcBorders>
              <w:top w:val="single" w:sz="6" w:space="0" w:color="000000"/>
              <w:left w:val="single" w:sz="6" w:space="0" w:color="000000"/>
              <w:bottom w:val="single" w:sz="6" w:space="0" w:color="000000"/>
              <w:right w:val="single" w:sz="6" w:space="0" w:color="000000"/>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Условия хра</w:t>
            </w:r>
            <w:r w:rsidRPr="00DA5C72">
              <w:rPr>
                <w:rFonts w:ascii="Times New Roman" w:hAnsi="Times New Roman" w:cs="Times New Roman"/>
                <w:b/>
                <w:bCs/>
                <w:sz w:val="24"/>
                <w:szCs w:val="24"/>
              </w:rPr>
              <w:softHyphen/>
              <w:t>нения опас</w:t>
            </w:r>
            <w:r w:rsidRPr="00DA5C72">
              <w:rPr>
                <w:rFonts w:ascii="Times New Roman" w:hAnsi="Times New Roman" w:cs="Times New Roman"/>
                <w:b/>
                <w:bCs/>
                <w:sz w:val="24"/>
                <w:szCs w:val="24"/>
              </w:rPr>
              <w:softHyphen/>
              <w:t>ных веществ (м3)</w:t>
            </w:r>
          </w:p>
        </w:tc>
      </w:tr>
      <w:tr w:rsidR="00DA5C72" w:rsidRPr="00DA5C72" w:rsidTr="00DA5C72">
        <w:trPr>
          <w:trHeight w:val="23"/>
          <w:jc w:val="center"/>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ВЗРЫВОПОЖАРООПАСНЫЕ ОБЪЕКТЫ</w:t>
            </w:r>
          </w:p>
        </w:tc>
      </w:tr>
      <w:tr w:rsidR="00DA5C72" w:rsidRPr="00DA5C72" w:rsidTr="00DA5C72">
        <w:trPr>
          <w:trHeight w:val="23"/>
          <w:jc w:val="center"/>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Объекты по хранению и реализации нефтепродуктов:</w:t>
            </w:r>
          </w:p>
        </w:tc>
      </w:tr>
      <w:tr w:rsidR="00DA5C72" w:rsidRPr="00DA5C72" w:rsidTr="00DA5C72">
        <w:trPr>
          <w:trHeight w:val="23"/>
          <w:jc w:val="center"/>
        </w:trPr>
        <w:tc>
          <w:tcPr>
            <w:tcW w:w="218" w:type="pct"/>
            <w:tcBorders>
              <w:top w:val="single" w:sz="6" w:space="0" w:color="000000"/>
              <w:left w:val="single" w:sz="6"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663"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Нефтебаза СПК «Выбор»</w:t>
            </w:r>
          </w:p>
        </w:tc>
        <w:tc>
          <w:tcPr>
            <w:tcW w:w="379"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874"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603"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848"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взрывопожароопасные</w:t>
            </w:r>
          </w:p>
        </w:tc>
        <w:tc>
          <w:tcPr>
            <w:tcW w:w="908" w:type="pct"/>
            <w:tcBorders>
              <w:top w:val="single" w:sz="6" w:space="0" w:color="000000"/>
              <w:left w:val="single" w:sz="4" w:space="0" w:color="000000"/>
              <w:bottom w:val="single" w:sz="6" w:space="0" w:color="000000"/>
              <w:right w:val="single" w:sz="4"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508" w:type="pct"/>
            <w:tcBorders>
              <w:top w:val="single" w:sz="6" w:space="0" w:color="000000"/>
              <w:left w:val="single" w:sz="4" w:space="0" w:color="000000"/>
              <w:bottom w:val="single" w:sz="6" w:space="0" w:color="000000"/>
              <w:right w:val="single" w:sz="6" w:space="0" w:color="000000"/>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r>
    </w:tbl>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Таблица 74 - На территории муниципального образования «Новоржевский район» функционирует 10 котельных на дровах и пеллетах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7"/>
        <w:gridCol w:w="5438"/>
        <w:gridCol w:w="3078"/>
      </w:tblGrid>
      <w:tr w:rsidR="00DA5C72" w:rsidRPr="00DA5C72" w:rsidTr="00DA5C72">
        <w:trPr>
          <w:trHeight w:val="23"/>
          <w:tblHeader/>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п/п</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и адрес размещения котельных</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Наличие топлива, м3</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 д. Выбор Новоржевского района</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2.</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2, д. Вехно Новоржевского района</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60,00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3.</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3, ул. Пушкина, д. 14,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4.</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5, ул. Германа 72,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85,00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5.</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6, ул. Г ермана 65,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6.</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7, ул. Германа 55,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7.</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8, ул. Медицинская 6,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8.</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10, и. Мелиораторов, д. Орша, Новоржевский район</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9.</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13, ул. Пушкина 91,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r w:rsidR="00DA5C72" w:rsidRPr="00DA5C72" w:rsidTr="00DA5C72">
        <w:trPr>
          <w:trHeight w:val="23"/>
          <w:jc w:val="center"/>
        </w:trPr>
        <w:tc>
          <w:tcPr>
            <w:tcW w:w="388"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10.</w:t>
            </w:r>
          </w:p>
        </w:tc>
        <w:tc>
          <w:tcPr>
            <w:tcW w:w="294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Котельная № 14, ул. Набережная 15, г. Новоржев.</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80,00</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территории Новоржевского района имеется социально-значимый объект с круглосуточным пребыванием людей Государственное бюджетное учреждение социального обслуживания Псковской области «Новоржевский дом- интернат для престарелых и инвалидов» (г. Новоржев, ул. Медицинская, д. 2).</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Обеспечение различных категорий населения защитными сооружениями гражданской обороны осуществляется в соответствии с постановлением Правительства РФ от 29.11.1999 № 1309 «О порядке создания убежищ и иных объектов гражданской обороны», свода правил СП 165.1325800.2014 «Инженерно-технические мероприятия по гражданской обороне» (Актуализированная редакция СНиП 2.01.51-90).</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75 - На территории муниципального образования «Новоржевский район» расположено 1 (одно) противорадиационное укрытие (ПРУ)</w:t>
      </w:r>
    </w:p>
    <w:tbl>
      <w:tblPr>
        <w:tblW w:w="5000" w:type="pct"/>
        <w:jc w:val="center"/>
        <w:tblCellMar>
          <w:left w:w="10" w:type="dxa"/>
          <w:right w:w="10" w:type="dxa"/>
        </w:tblCellMar>
        <w:tblLook w:val="04A0" w:firstRow="1" w:lastRow="0" w:firstColumn="1" w:lastColumn="0" w:noHBand="0" w:noVBand="1"/>
      </w:tblPr>
      <w:tblGrid>
        <w:gridCol w:w="813"/>
        <w:gridCol w:w="3804"/>
        <w:gridCol w:w="2308"/>
        <w:gridCol w:w="2308"/>
      </w:tblGrid>
      <w:tr w:rsidR="00DA5C72" w:rsidRPr="00DA5C72" w:rsidTr="00DA5C72">
        <w:trPr>
          <w:trHeight w:val="23"/>
          <w:jc w:val="center"/>
        </w:trPr>
        <w:tc>
          <w:tcPr>
            <w:tcW w:w="44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206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Полный адрес места расположения ЗС ГО с указанием строения, подъезда</w:t>
            </w:r>
          </w:p>
        </w:tc>
        <w:tc>
          <w:tcPr>
            <w:tcW w:w="1250" w:type="pct"/>
            <w:tcBorders>
              <w:top w:val="single" w:sz="4" w:space="0" w:color="auto"/>
              <w:lef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Тип,</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класс ЗС ГО</w:t>
            </w:r>
          </w:p>
        </w:tc>
        <w:tc>
          <w:tcPr>
            <w:tcW w:w="1250" w:type="pct"/>
            <w:tcBorders>
              <w:top w:val="single" w:sz="4" w:space="0" w:color="auto"/>
              <w:left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Вместимость, тыс. чел.</w:t>
            </w:r>
          </w:p>
        </w:tc>
      </w:tr>
      <w:tr w:rsidR="00DA5C72" w:rsidRPr="00DA5C72" w:rsidTr="00DA5C72">
        <w:trPr>
          <w:trHeight w:val="23"/>
          <w:jc w:val="center"/>
        </w:trPr>
        <w:tc>
          <w:tcPr>
            <w:tcW w:w="44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206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182440, г. Новоржев, ул. Медицинская, д.6, подвал поликлиники</w:t>
            </w:r>
          </w:p>
        </w:tc>
        <w:tc>
          <w:tcPr>
            <w:tcW w:w="1250" w:type="pct"/>
            <w:tcBorders>
              <w:top w:val="single" w:sz="4" w:space="0" w:color="auto"/>
              <w:left w:val="single" w:sz="4" w:space="0" w:color="auto"/>
              <w:bottom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ПРУ</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0,15</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Территория объекта градостроительной деятельности не отнесена к группам по гражданской обороне. На территории Новоржевского района отсутствуют организации, отнесенные к категории по гражданской обороне.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постановлением Правительства РФ от 22.06.2004 № 303 «О порядке эвакуации населения, материальных и культурных ценностей в безопасные районы», распоряжением Администрации Псковской области от 18.06.2010 № 166-р «О заблаговременной подготовки безопасных районов на территории Псковской области и проведения эвакуационных мероприятий», Планом гражданской обороны и защиты населения Псковской области территория Новоржевского района включена в перечень безопасных районов для приема населения, материальных и культурных ценностей из зон возможных опасностей.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обеспечения населения, пострадавшего в чрезвычайных ситуациях, на территории Новоржевского района, по адресу: 182440, г Новоржев, ул. Германа, д. 72, расположена МОУ «Новоржевская средняя школа», использующаяся как пункт временного размещения при чрезвычайных ситуациях (вместимость 50 человек).</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На территории Новоржевского района действует региональная автоматизированная система централизованного оповещения (РАСЦО) Псковской области на базе аппаратуры: П-160, П-166, П-166М.</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Ткаченко - Перечень сирен оповещения на территории Новоржевского района</w:t>
      </w:r>
    </w:p>
    <w:tbl>
      <w:tblPr>
        <w:tblW w:w="5000" w:type="pct"/>
        <w:jc w:val="center"/>
        <w:tblCellMar>
          <w:left w:w="10" w:type="dxa"/>
          <w:right w:w="10" w:type="dxa"/>
        </w:tblCellMar>
        <w:tblLook w:val="04A0" w:firstRow="1" w:lastRow="0" w:firstColumn="1" w:lastColumn="0" w:noHBand="0" w:noVBand="1"/>
      </w:tblPr>
      <w:tblGrid>
        <w:gridCol w:w="797"/>
        <w:gridCol w:w="2050"/>
        <w:gridCol w:w="1751"/>
        <w:gridCol w:w="2788"/>
        <w:gridCol w:w="1847"/>
      </w:tblGrid>
      <w:tr w:rsidR="00DA5C72" w:rsidRPr="00DA5C72" w:rsidTr="00DA5C72">
        <w:trPr>
          <w:trHeight w:val="23"/>
          <w:jc w:val="center"/>
        </w:trPr>
        <w:tc>
          <w:tcPr>
            <w:tcW w:w="432"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 п/п</w:t>
            </w:r>
          </w:p>
        </w:tc>
        <w:tc>
          <w:tcPr>
            <w:tcW w:w="11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Тип</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технических</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систем</w:t>
            </w:r>
          </w:p>
          <w:p w:rsidR="00DA5C72" w:rsidRPr="00DA5C72" w:rsidRDefault="00DA5C72" w:rsidP="00DA5C72">
            <w:pPr>
              <w:spacing w:after="0" w:line="240" w:lineRule="auto"/>
              <w:jc w:val="both"/>
              <w:rPr>
                <w:rFonts w:ascii="Times New Roman" w:hAnsi="Times New Roman" w:cs="Times New Roman"/>
                <w:bCs/>
                <w:sz w:val="24"/>
                <w:szCs w:val="24"/>
                <w:lang w:bidi="ru-RU"/>
              </w:rPr>
            </w:pPr>
            <w:r w:rsidRPr="00DA5C72">
              <w:rPr>
                <w:rFonts w:ascii="Times New Roman" w:hAnsi="Times New Roman" w:cs="Times New Roman"/>
                <w:bCs/>
                <w:sz w:val="24"/>
                <w:szCs w:val="24"/>
                <w:lang w:bidi="ru-RU"/>
              </w:rPr>
              <w:t>оповещения</w:t>
            </w:r>
          </w:p>
        </w:tc>
        <w:tc>
          <w:tcPr>
            <w:tcW w:w="948"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Количество,</w:t>
            </w:r>
          </w:p>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ед.</w:t>
            </w:r>
          </w:p>
        </w:tc>
        <w:tc>
          <w:tcPr>
            <w:tcW w:w="15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Место нахождения оборудования</w:t>
            </w:r>
          </w:p>
        </w:tc>
        <w:tc>
          <w:tcPr>
            <w:tcW w:w="1000"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Наименование объекта, на котором установлена сирена</w:t>
            </w:r>
          </w:p>
        </w:tc>
      </w:tr>
      <w:tr w:rsidR="00DA5C72" w:rsidRPr="00DA5C72" w:rsidTr="00DA5C72">
        <w:trPr>
          <w:trHeight w:val="23"/>
          <w:jc w:val="center"/>
        </w:trPr>
        <w:tc>
          <w:tcPr>
            <w:tcW w:w="432"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1</w:t>
            </w:r>
          </w:p>
        </w:tc>
        <w:tc>
          <w:tcPr>
            <w:tcW w:w="11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С-40</w:t>
            </w:r>
          </w:p>
        </w:tc>
        <w:tc>
          <w:tcPr>
            <w:tcW w:w="948"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w:t>
            </w:r>
          </w:p>
        </w:tc>
        <w:tc>
          <w:tcPr>
            <w:tcW w:w="151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г. Новоржев, ул. Германа 54</w:t>
            </w:r>
          </w:p>
        </w:tc>
        <w:tc>
          <w:tcPr>
            <w:tcW w:w="1000"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ПАО «Ростелеком»</w:t>
            </w:r>
          </w:p>
        </w:tc>
      </w:tr>
      <w:tr w:rsidR="00DA5C72" w:rsidRPr="00DA5C72" w:rsidTr="00DA5C72">
        <w:trPr>
          <w:trHeight w:val="23"/>
          <w:jc w:val="center"/>
        </w:trPr>
        <w:tc>
          <w:tcPr>
            <w:tcW w:w="432"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lang w:bidi="ru-RU"/>
              </w:rPr>
            </w:pPr>
            <w:r w:rsidRPr="00DA5C72">
              <w:rPr>
                <w:rFonts w:ascii="Times New Roman" w:hAnsi="Times New Roman" w:cs="Times New Roman"/>
                <w:b/>
                <w:bCs/>
                <w:sz w:val="24"/>
                <w:szCs w:val="24"/>
                <w:lang w:bidi="ru-RU"/>
              </w:rPr>
              <w:t>2</w:t>
            </w:r>
          </w:p>
        </w:tc>
        <w:tc>
          <w:tcPr>
            <w:tcW w:w="111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С-40</w:t>
            </w:r>
          </w:p>
        </w:tc>
        <w:tc>
          <w:tcPr>
            <w:tcW w:w="948"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w:t>
            </w:r>
          </w:p>
        </w:tc>
        <w:tc>
          <w:tcPr>
            <w:tcW w:w="151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182440, г. Новоржев. ул. Пушкина 72</w:t>
            </w:r>
          </w:p>
        </w:tc>
        <w:tc>
          <w:tcPr>
            <w:tcW w:w="1000"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lang w:bidi="ru-RU"/>
              </w:rPr>
            </w:pPr>
            <w:r w:rsidRPr="00DA5C72">
              <w:rPr>
                <w:rFonts w:ascii="Times New Roman" w:hAnsi="Times New Roman" w:cs="Times New Roman"/>
                <w:sz w:val="24"/>
                <w:szCs w:val="24"/>
                <w:lang w:bidi="ru-RU"/>
              </w:rPr>
              <w:t>«Новоржевское АТП» ГППО</w:t>
            </w:r>
          </w:p>
        </w:tc>
      </w:tr>
    </w:tbl>
    <w:p w:rsidR="00DA5C72" w:rsidRPr="00DA5C72" w:rsidRDefault="00DA5C72" w:rsidP="00DA5C72">
      <w:pPr>
        <w:spacing w:after="0" w:line="240" w:lineRule="auto"/>
        <w:jc w:val="both"/>
        <w:rPr>
          <w:rFonts w:ascii="Times New Roman" w:hAnsi="Times New Roman" w:cs="Times New Roman"/>
          <w:sz w:val="24"/>
          <w:szCs w:val="24"/>
          <w:lang w:bidi="ru-RU"/>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Радиус зоны действия сирены оповещения - 1 км.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Подземные, горные выработки, приспособленные для защиты населения отсутствуют.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Склады МТР, базы и склады восстановительного периода отсутствуют.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i/>
          <w:sz w:val="24"/>
          <w:szCs w:val="24"/>
        </w:rPr>
      </w:pPr>
      <w:bookmarkStart w:id="150" w:name="_Toc216434300"/>
      <w:r w:rsidRPr="00DA5C72">
        <w:rPr>
          <w:rFonts w:ascii="Times New Roman" w:hAnsi="Times New Roman" w:cs="Times New Roman"/>
          <w:b/>
          <w:bCs/>
          <w:i/>
          <w:sz w:val="24"/>
          <w:szCs w:val="24"/>
        </w:rPr>
        <w:t>6.1. Опасные процессы и явления природного характера</w:t>
      </w:r>
      <w:bookmarkEnd w:id="150"/>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 ГОСТу Р 22.0.03-22. «Безопасность в чрезвычайных ситуациях. Природные чрезвычайные ситуации. Термины и определения» природная чрезвычайная ситуация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1" w:name="_Toc216434301"/>
      <w:r w:rsidRPr="00DA5C72">
        <w:rPr>
          <w:rFonts w:ascii="Times New Roman" w:hAnsi="Times New Roman" w:cs="Times New Roman"/>
          <w:b/>
          <w:bCs/>
          <w:sz w:val="24"/>
          <w:szCs w:val="24"/>
        </w:rPr>
        <w:t>6.1.1. Опасные геологические явления и процессы</w:t>
      </w:r>
      <w:bookmarkEnd w:id="151"/>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Из потенциально опасных геологических явлений на территории района возможно развитие </w:t>
      </w:r>
      <w:r w:rsidRPr="00DA5C72">
        <w:rPr>
          <w:rFonts w:ascii="Times New Roman" w:hAnsi="Times New Roman" w:cs="Times New Roman"/>
          <w:i/>
          <w:iCs/>
          <w:sz w:val="24"/>
          <w:szCs w:val="24"/>
        </w:rPr>
        <w:t>эрозионных процессов</w:t>
      </w:r>
      <w:r w:rsidRPr="00DA5C72">
        <w:rPr>
          <w:rFonts w:ascii="Times New Roman" w:hAnsi="Times New Roman" w:cs="Times New Roman"/>
          <w:sz w:val="24"/>
          <w:szCs w:val="24"/>
        </w:rPr>
        <w:t xml:space="preserve">, кроме того, на локальных участках возможно развитие процессов плоскостного смыва, дефляции. </w:t>
      </w:r>
    </w:p>
    <w:p w:rsidR="00DA5C72" w:rsidRPr="00DA5C72" w:rsidRDefault="00DA5C72" w:rsidP="00DA5C72">
      <w:pPr>
        <w:spacing w:after="0" w:line="240" w:lineRule="auto"/>
        <w:jc w:val="both"/>
        <w:rPr>
          <w:rFonts w:ascii="Times New Roman" w:hAnsi="Times New Roman" w:cs="Times New Roman"/>
          <w:i/>
          <w:iCs/>
          <w:sz w:val="24"/>
          <w:szCs w:val="24"/>
        </w:rPr>
      </w:pPr>
      <w:r w:rsidRPr="00DA5C72">
        <w:rPr>
          <w:rFonts w:ascii="Times New Roman" w:hAnsi="Times New Roman" w:cs="Times New Roman"/>
          <w:sz w:val="24"/>
          <w:szCs w:val="24"/>
        </w:rPr>
        <w:t xml:space="preserve">Район относится к зоне избыточного переувлажнения. Годовое количество осадков превышает годовое испарение на 200-220 мм, что способствует </w:t>
      </w:r>
      <w:r w:rsidRPr="00DA5C72">
        <w:rPr>
          <w:rFonts w:ascii="Times New Roman" w:hAnsi="Times New Roman" w:cs="Times New Roman"/>
          <w:i/>
          <w:iCs/>
          <w:sz w:val="24"/>
          <w:szCs w:val="24"/>
        </w:rPr>
        <w:t>переувлажнению почв.</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2" w:name="_Toc216434302"/>
      <w:r w:rsidRPr="00DA5C72">
        <w:rPr>
          <w:rFonts w:ascii="Times New Roman" w:hAnsi="Times New Roman" w:cs="Times New Roman"/>
          <w:b/>
          <w:bCs/>
          <w:sz w:val="24"/>
          <w:szCs w:val="24"/>
        </w:rPr>
        <w:t>6.1.2. Опасные гидрологические явления и процессы</w:t>
      </w:r>
      <w:bookmarkEnd w:id="152"/>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Основными опасными природными явлениями в поймах рек и озер является </w:t>
      </w:r>
      <w:r w:rsidRPr="00DA5C72">
        <w:rPr>
          <w:rFonts w:ascii="Times New Roman" w:hAnsi="Times New Roman" w:cs="Times New Roman"/>
          <w:i/>
          <w:iCs/>
          <w:sz w:val="24"/>
          <w:szCs w:val="24"/>
        </w:rPr>
        <w:t xml:space="preserve">затопление (подтопление) </w:t>
      </w:r>
      <w:r w:rsidRPr="00DA5C72">
        <w:rPr>
          <w:rFonts w:ascii="Times New Roman" w:hAnsi="Times New Roman" w:cs="Times New Roman"/>
          <w:sz w:val="24"/>
          <w:szCs w:val="24"/>
        </w:rPr>
        <w:t>прибрежных и пониженных территорий в период половодья и паводка.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реестр населенных пунктов, попадающих в зоны подтопления, вызванные различными гидрологическими и гидродинамическими явлениями и процессами, включены населенные пункты Новоржевского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г. Новоржев (оз. Орша), широта - 57.029623, долгота - 29.332419;</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д. Волочицкое (р. Льста), широта - 57.050186, долгота - 29.430740.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i/>
          <w:iCs/>
          <w:sz w:val="24"/>
          <w:szCs w:val="24"/>
        </w:rPr>
        <w:t>Основными факторами риска</w:t>
      </w:r>
      <w:r w:rsidRPr="00DA5C72">
        <w:rPr>
          <w:rFonts w:ascii="Times New Roman" w:hAnsi="Times New Roman" w:cs="Times New Roman"/>
          <w:sz w:val="24"/>
          <w:szCs w:val="24"/>
        </w:rPr>
        <w:t>, влияющими на количество несчастных случаев, связанных с гибелью людей на водных объектах объекта градостроительной деятельности, являются: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наличие крупных озер (Посадниковское - 370 га, Оршо - 276 га, Вехно - 235 га, Чернозерье - 218 га);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отсутствие оборудованных мест массового отдыха; низкая культура организации отдыха на водных объектах, пригодных для массового отдыха;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игнорирование запретов выходов на лед в период ледостава и таяния льда; опасные гидрологические явления и процессы;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отсутствие сил и средств, специально предназначенных для оказания помощи, терпящим бедствие на воде.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Основные места несанкционированного отдыха на водных объектах в Новоржевском районе согласно Распоряжению КЧС и ОПБ Администрации Новоржевского района от 17.05.2021 № 10 «О мерах по предупреждению чрезвычайных ситуаций в местах массового отдыха и спорта на водных объектах района в летний период 2021 года»: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Вехнянская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Вехно, озеро Вехнянское;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Осинкино, река Сороть;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Волчицкое, река Льста;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Ямищи, озеро Оршо,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Песчивицы, карьер Новоржевская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Михалкино, озеро Михалкинское;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Коньково, река Льста;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Кисляково, озеро Глубокое;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Полозово, озеро Семиловское;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Самсониха, озеро Алё;</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Плавно, озеро Лобно;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Выборская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Выбор, озеро Рахново;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Воробьеве, озеро Воробьевское;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Редкино, озеро Дубенец;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Кудяево, озеро Глубенец;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Алешно, озеро Алешно;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Любавец, озеро Любавец;</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Посадниково, озеро Посадниковское.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Ведомственные спасательные посты на территории Новоржевского района отсутствуют.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Объектовые системы оповещения на территории Новоржевского района отсутствуют.</w:t>
      </w:r>
    </w:p>
    <w:p w:rsidR="00DA5C72" w:rsidRDefault="00DA5C72" w:rsidP="00F022FE">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3" w:name="_Toc216434303"/>
      <w:r w:rsidRPr="00DA5C72">
        <w:rPr>
          <w:rFonts w:ascii="Times New Roman" w:hAnsi="Times New Roman" w:cs="Times New Roman"/>
          <w:b/>
          <w:bCs/>
          <w:sz w:val="24"/>
          <w:szCs w:val="24"/>
        </w:rPr>
        <w:t>6.1.3. Опасные метеорологические явления</w:t>
      </w:r>
      <w:bookmarkEnd w:id="153"/>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Возможные опасные метеорологические явления и процессы: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сильный ветер, шквал (скорость ветра, включая порывы 25 м/с и более);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осадки в виде дождя, снега (количество осадков - 50 мм и более за 12 ч и менее);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сильный ливень (количество осадков 30 мм и более за 1 час и менее), гроза, сильное гололедно-изморозевое отложение.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течение последних лет территория района ежегодно подвергалась воздействию ураганов, смерчей (скорость ветра - 25-30 м/сек) с захватом 2-3 волостей, а с периодичностью один раз в 7-10 лет - с захватом до 50% территории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Сильные ветры (скорость более 15 м/сек) на территории района наблюдаются от 2 до 9 дней в году.</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Возможными последствиями ураганов являются: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снос или повреждение крыш жилых домов (в основном индивидуальных), повреждение линий связи и электропередач, лесоповал на значительных площадях и завалы из деревьев на участках дорог, возникновение отдельных очагов пожаров.</w:t>
      </w:r>
    </w:p>
    <w:p w:rsid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Ввиду резкого перепада зимних температур, опасным явлением, характерным для района, является налипание мокрого снега на линиях электропередач, которое влечет к их обрыву и отключению от электроэнергии и тепла объектов промышленного и сельскохозяйственного производства, жилых массивов.</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sz w:val="24"/>
          <w:szCs w:val="24"/>
        </w:rPr>
      </w:pPr>
      <w:r w:rsidRPr="00DA5C72">
        <w:rPr>
          <w:rFonts w:ascii="Times New Roman" w:hAnsi="Times New Roman" w:cs="Times New Roman"/>
          <w:b/>
          <w:sz w:val="24"/>
          <w:szCs w:val="24"/>
        </w:rPr>
        <w:t>6.1.4. Природные пожары: лесные и торфяные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Лесной фонд на территории Новоржевского района находится в ведении казенного учреждения «Бежаницкое лесничество» на площади: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- 31548 га - Новоржевское участковое лесничество;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- 23079 га - Стехновское участковое лесничество.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Территория лесничества относится к району хвойно-широколиственных (смешанных) лесов европейской части Российской Федерации зоны хвойно- широколиственных лесов. Средний класс пожарной опасности лесов лесничества 3,6 указывает на среднюю степень опасности возникновения пожаров.</w:t>
      </w:r>
    </w:p>
    <w:p w:rsidR="00DA5C72" w:rsidRPr="00DA5C72" w:rsidRDefault="00DA5C72" w:rsidP="00DA5C72">
      <w:pPr>
        <w:spacing w:after="0" w:line="240" w:lineRule="auto"/>
        <w:jc w:val="both"/>
        <w:rPr>
          <w:rFonts w:ascii="Times New Roman" w:hAnsi="Times New Roman" w:cs="Times New Roman"/>
          <w:b/>
          <w:bCs/>
          <w:sz w:val="24"/>
          <w:szCs w:val="24"/>
          <w:lang w:bidi="ru-RU"/>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lang w:bidi="ru-RU"/>
        </w:rPr>
        <w:t>Таблица 76 - Сведения о природной пожарной опасности</w:t>
      </w:r>
    </w:p>
    <w:tbl>
      <w:tblPr>
        <w:tblW w:w="5000" w:type="pct"/>
        <w:jc w:val="center"/>
        <w:tblCellMar>
          <w:left w:w="10" w:type="dxa"/>
          <w:right w:w="10" w:type="dxa"/>
        </w:tblCellMar>
        <w:tblLook w:val="04A0" w:firstRow="1" w:lastRow="0" w:firstColumn="1" w:lastColumn="0" w:noHBand="0" w:noVBand="1"/>
      </w:tblPr>
      <w:tblGrid>
        <w:gridCol w:w="1629"/>
        <w:gridCol w:w="620"/>
        <w:gridCol w:w="737"/>
        <w:gridCol w:w="868"/>
        <w:gridCol w:w="967"/>
        <w:gridCol w:w="1020"/>
        <w:gridCol w:w="1779"/>
        <w:gridCol w:w="1613"/>
      </w:tblGrid>
      <w:tr w:rsidR="00DA5C72" w:rsidRPr="00DA5C72" w:rsidTr="00DA5C72">
        <w:trPr>
          <w:trHeight w:val="23"/>
          <w:jc w:val="center"/>
        </w:trPr>
        <w:tc>
          <w:tcPr>
            <w:tcW w:w="883" w:type="pct"/>
            <w:vMerge w:val="restar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Участковое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b/>
                <w:bCs/>
                <w:sz w:val="24"/>
                <w:szCs w:val="24"/>
              </w:rPr>
              <w:t>лесничество</w:t>
            </w:r>
          </w:p>
        </w:tc>
        <w:tc>
          <w:tcPr>
            <w:tcW w:w="2278" w:type="pct"/>
            <w:gridSpan w:val="5"/>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В том числе по классам пожарной опасности</w:t>
            </w:r>
          </w:p>
        </w:tc>
        <w:tc>
          <w:tcPr>
            <w:tcW w:w="96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Итого</w:t>
            </w:r>
          </w:p>
        </w:tc>
        <w:tc>
          <w:tcPr>
            <w:tcW w:w="87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Средний класс</w:t>
            </w:r>
          </w:p>
        </w:tc>
      </w:tr>
      <w:tr w:rsidR="00DA5C72" w:rsidRPr="00DA5C72" w:rsidTr="00DA5C72">
        <w:trPr>
          <w:trHeight w:val="23"/>
          <w:jc w:val="center"/>
        </w:trPr>
        <w:tc>
          <w:tcPr>
            <w:tcW w:w="883" w:type="pct"/>
            <w:vMerge/>
            <w:tcBorders>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1</w:t>
            </w:r>
          </w:p>
        </w:tc>
        <w:tc>
          <w:tcPr>
            <w:tcW w:w="400"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2</w:t>
            </w:r>
          </w:p>
        </w:tc>
        <w:tc>
          <w:tcPr>
            <w:tcW w:w="471"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3</w:t>
            </w:r>
          </w:p>
        </w:tc>
        <w:tc>
          <w:tcPr>
            <w:tcW w:w="524" w:type="pct"/>
            <w:tcBorders>
              <w:top w:val="single" w:sz="4" w:space="0" w:color="auto"/>
              <w:lef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4</w:t>
            </w:r>
          </w:p>
        </w:tc>
        <w:tc>
          <w:tcPr>
            <w:tcW w:w="553"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5</w:t>
            </w:r>
          </w:p>
        </w:tc>
        <w:tc>
          <w:tcPr>
            <w:tcW w:w="96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6</w:t>
            </w:r>
          </w:p>
        </w:tc>
        <w:tc>
          <w:tcPr>
            <w:tcW w:w="874" w:type="pct"/>
            <w:tcBorders>
              <w:top w:val="single" w:sz="4" w:space="0" w:color="auto"/>
              <w:left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7</w:t>
            </w:r>
          </w:p>
        </w:tc>
      </w:tr>
      <w:tr w:rsidR="00DA5C72" w:rsidRPr="00DA5C72" w:rsidTr="00DA5C72">
        <w:trPr>
          <w:trHeight w:val="23"/>
          <w:jc w:val="center"/>
        </w:trPr>
        <w:tc>
          <w:tcPr>
            <w:tcW w:w="883"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Новоржевское</w:t>
            </w:r>
          </w:p>
        </w:tc>
        <w:tc>
          <w:tcPr>
            <w:tcW w:w="33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31548</w:t>
            </w:r>
          </w:p>
        </w:tc>
        <w:tc>
          <w:tcPr>
            <w:tcW w:w="40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lang w:bidi="ru-RU"/>
              </w:rPr>
              <w:t>-</w:t>
            </w:r>
          </w:p>
        </w:tc>
        <w:tc>
          <w:tcPr>
            <w:tcW w:w="471"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545,0</w:t>
            </w:r>
          </w:p>
        </w:tc>
        <w:tc>
          <w:tcPr>
            <w:tcW w:w="524"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7684,0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23319,0</w:t>
            </w:r>
          </w:p>
        </w:tc>
        <w:tc>
          <w:tcPr>
            <w:tcW w:w="96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31548.0</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3.7</w:t>
            </w:r>
          </w:p>
        </w:tc>
      </w:tr>
      <w:tr w:rsidR="00DA5C72" w:rsidRPr="00DA5C72" w:rsidTr="00DA5C72">
        <w:trPr>
          <w:trHeight w:val="23"/>
          <w:jc w:val="center"/>
        </w:trPr>
        <w:tc>
          <w:tcPr>
            <w:tcW w:w="883"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Стехновское</w:t>
            </w:r>
          </w:p>
        </w:tc>
        <w:tc>
          <w:tcPr>
            <w:tcW w:w="33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23079</w:t>
            </w:r>
          </w:p>
        </w:tc>
        <w:tc>
          <w:tcPr>
            <w:tcW w:w="400"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130</w:t>
            </w:r>
          </w:p>
        </w:tc>
        <w:tc>
          <w:tcPr>
            <w:tcW w:w="471"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1861,0</w:t>
            </w:r>
          </w:p>
        </w:tc>
        <w:tc>
          <w:tcPr>
            <w:tcW w:w="524" w:type="pct"/>
            <w:tcBorders>
              <w:top w:val="single" w:sz="4" w:space="0" w:color="auto"/>
              <w:left w:val="single" w:sz="4" w:space="0" w:color="auto"/>
              <w:bottom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14224,0</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6864,0</w:t>
            </w:r>
          </w:p>
        </w:tc>
        <w:tc>
          <w:tcPr>
            <w:tcW w:w="96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23079.0</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3.2</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Средний класс пожарной опасности лесов лесничества 3.7, что указывает на среднюю степень опасности возникновения пожаров по указанной выше классификации.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Населенные пункты Вехнянской и Новоржевской волости Новоржевского района включены в Перечень населенных пунктов Псковской области, подверженных угрозе лесных пожаров и других природных пожаров, утвержденный Постановлением Правительства Псковской области от 26.05.2025 №186 «О перечнях населенных пунктов Псковской области, подверженных угрозе лесных пожаров и других ландшафтных (природных) пожаров, территорий организаций отдыха детей и их оздоровления, территорий садоводства или огородничества в Псковской области, подверженных угрозе лесных пожаров в 2025 году».</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77 – Перечень населенных пунктов, подверженных лесным и природным пожарам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0"/>
        <w:gridCol w:w="4005"/>
        <w:gridCol w:w="3078"/>
      </w:tblGrid>
      <w:tr w:rsidR="00DA5C72" w:rsidRPr="00DA5C72" w:rsidTr="00DA5C72">
        <w:trPr>
          <w:trHeight w:val="23"/>
          <w:tblHeader/>
          <w:jc w:val="center"/>
        </w:trPr>
        <w:tc>
          <w:tcPr>
            <w:tcW w:w="1164"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района</w:t>
            </w:r>
          </w:p>
        </w:tc>
        <w:tc>
          <w:tcPr>
            <w:tcW w:w="2169"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волости</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Наименование населенного пункта (деревня, село), подверженного лесным и природным пожарам</w:t>
            </w:r>
          </w:p>
        </w:tc>
      </w:tr>
      <w:tr w:rsidR="00DA5C72" w:rsidRPr="00DA5C72" w:rsidTr="00DA5C72">
        <w:trPr>
          <w:trHeight w:val="23"/>
          <w:jc w:val="center"/>
        </w:trPr>
        <w:tc>
          <w:tcPr>
            <w:tcW w:w="1164"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Новоржевский</w:t>
            </w:r>
          </w:p>
        </w:tc>
        <w:tc>
          <w:tcPr>
            <w:tcW w:w="2169"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Вехнянская</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Приветок</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Чистый Бор</w:t>
            </w:r>
          </w:p>
        </w:tc>
      </w:tr>
      <w:tr w:rsidR="00DA5C72" w:rsidRPr="00DA5C72" w:rsidTr="00DA5C72">
        <w:trPr>
          <w:trHeight w:val="239"/>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val="restar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Новоржевская</w:t>
            </w: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Боровичи</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Долосец</w:t>
            </w:r>
          </w:p>
        </w:tc>
      </w:tr>
      <w:tr w:rsidR="00DA5C72" w:rsidRPr="00DA5C72" w:rsidTr="00DA5C72">
        <w:trPr>
          <w:trHeight w:val="135"/>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Иваньково</w:t>
            </w:r>
          </w:p>
        </w:tc>
      </w:tr>
      <w:tr w:rsidR="00DA5C72" w:rsidRPr="00DA5C72" w:rsidTr="00DA5C72">
        <w:trPr>
          <w:trHeight w:val="105"/>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Извоз</w:t>
            </w:r>
          </w:p>
        </w:tc>
      </w:tr>
      <w:tr w:rsidR="00DA5C72" w:rsidRPr="00DA5C72" w:rsidTr="00DA5C72">
        <w:trPr>
          <w:trHeight w:val="366"/>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Петровское</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Пищино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Степанькино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Тимошкино</w:t>
            </w:r>
          </w:p>
        </w:tc>
      </w:tr>
      <w:tr w:rsidR="00DA5C72" w:rsidRPr="00DA5C72" w:rsidTr="00DA5C72">
        <w:trPr>
          <w:trHeight w:val="23"/>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Ханево</w:t>
            </w:r>
          </w:p>
        </w:tc>
      </w:tr>
      <w:tr w:rsidR="00DA5C72" w:rsidRPr="00DA5C72" w:rsidTr="00DA5C72">
        <w:trPr>
          <w:trHeight w:val="132"/>
          <w:jc w:val="center"/>
        </w:trPr>
        <w:tc>
          <w:tcPr>
            <w:tcW w:w="1164"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2169" w:type="pct"/>
            <w:vMerge/>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667" w:type="pct"/>
            <w:tcBorders>
              <w:tl2br w:val="nil"/>
              <w:tr2bl w:val="nil"/>
            </w:tcBorders>
            <w:shd w:val="clear" w:color="auto" w:fill="auto"/>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дер. Юдино</w:t>
            </w:r>
          </w:p>
        </w:tc>
      </w:tr>
    </w:tbl>
    <w:p w:rsidR="00DA5C72" w:rsidRPr="00DA5C72" w:rsidRDefault="00DA5C72" w:rsidP="00DA5C72">
      <w:pPr>
        <w:spacing w:after="0" w:line="240" w:lineRule="auto"/>
        <w:jc w:val="both"/>
        <w:rPr>
          <w:rFonts w:ascii="Times New Roman" w:hAnsi="Times New Roman" w:cs="Times New Roman"/>
          <w:sz w:val="24"/>
          <w:szCs w:val="24"/>
          <w:lang w:bidi="ru-RU"/>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Наиболее пожароопасными являются территории, примыкающие к автодорогам, населенным пунктам, садоводческим участкам и местам массового отдыха местного населения и пребывания туристов.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Тушение лесных пожаров на территории района осуществляет ГКУПО «Бежаницкое лесничество» (Руководитель - Цветков Сергей Николаевич, тел. +7(81141)22215; +7(912)2195723). Организацию охраны лесов от пожаров осуществляют ГКУПО «Бежаницкое лесничество» и Государственное автономное учреждение Псковской </w:t>
      </w:r>
      <w:r w:rsidRPr="00DA5C72">
        <w:rPr>
          <w:rFonts w:ascii="Times New Roman" w:hAnsi="Times New Roman" w:cs="Times New Roman"/>
          <w:sz w:val="24"/>
          <w:szCs w:val="24"/>
        </w:rPr>
        <w:lastRenderedPageBreak/>
        <w:t>области «Противопожарный лесной центр» (г. Псков, ул. Петровская, д. 51; директор - Черней Олег Геннадьевич, тел. 7(8112)220574.</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4" w:name="_Toc216434304"/>
      <w:r w:rsidRPr="00DA5C72">
        <w:rPr>
          <w:rFonts w:ascii="Times New Roman" w:hAnsi="Times New Roman" w:cs="Times New Roman"/>
          <w:b/>
          <w:bCs/>
          <w:sz w:val="24"/>
          <w:szCs w:val="24"/>
        </w:rPr>
        <w:t>6.2. Опасности техногенного характера</w:t>
      </w:r>
      <w:bookmarkEnd w:id="154"/>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Техногенная чрезвычайная ситуация</w:t>
      </w:r>
      <w:r w:rsidRPr="00DA5C72">
        <w:rPr>
          <w:rFonts w:ascii="Times New Roman" w:hAnsi="Times New Roman" w:cs="Times New Roman"/>
          <w:sz w:val="24"/>
          <w:szCs w:val="24"/>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территории Новоржевского района к возможным ЧС техногенного характера относятся: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промышленные аварии на химически опасных объектах экономики (включая склады хранения опасных химических веществ);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химическое заражение местности при перевозке автомобильным транспортом (аварии);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взрывы, пожары на объектах, использующих, осуществляющих хранение и перевозящих взрывоопасные вещества и легковоспламеняющиеся вещества;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аварии на электроэнергетических системах и системах связи.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зоны возможных сильных разрушений, возможного химического заражения, радиационного загрязнения, возможного биологического заражения, возможного катастрофического затопления объект градостроительной деятельности не попадает.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5" w:name="_Toc216434305"/>
      <w:r w:rsidRPr="00DA5C72">
        <w:rPr>
          <w:rFonts w:ascii="Times New Roman" w:hAnsi="Times New Roman" w:cs="Times New Roman"/>
          <w:b/>
          <w:bCs/>
          <w:sz w:val="24"/>
          <w:szCs w:val="24"/>
        </w:rPr>
        <w:t>6.2.1. Аварии на радиационно опасных объектах</w:t>
      </w:r>
      <w:bookmarkEnd w:id="155"/>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Согласно расчетным показателям возможной обстановки, объемов аварийно</w:t>
      </w:r>
      <w:r w:rsidRPr="00DA5C72">
        <w:rPr>
          <w:rFonts w:ascii="Times New Roman" w:hAnsi="Times New Roman" w:cs="Times New Roman"/>
          <w:sz w:val="24"/>
          <w:szCs w:val="24"/>
        </w:rPr>
        <w:softHyphen/>
        <w:t>спасательных и других неотложных работ, а также ущерба экономике в результате разрушения энергетических и исследовательских реакторов при авариях на близлежащих радиационно (ядерно) опасных объектах: Ленинградская АЭС, Смоленская АЭС, Калининская АЭС, зоны радиоактивного загрязнения (заражения), в которых проводятся мероприятия по защите населения на территории Псковской области, отсутствуют.</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6" w:name="_Toc216434306"/>
      <w:r w:rsidRPr="00DA5C72">
        <w:rPr>
          <w:rFonts w:ascii="Times New Roman" w:hAnsi="Times New Roman" w:cs="Times New Roman"/>
          <w:b/>
          <w:bCs/>
          <w:sz w:val="24"/>
          <w:szCs w:val="24"/>
        </w:rPr>
        <w:t>6.2.2. Аварии на химически опасных объектах</w:t>
      </w:r>
      <w:bookmarkEnd w:id="156"/>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К химически опасным объектам на территории муниципального района относятся склады хранения устаревших пестицидов в д. Вехно, д. Ямищи, д. Стехново.</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7" w:name="_Toc216434307"/>
      <w:r w:rsidRPr="00DA5C72">
        <w:rPr>
          <w:rFonts w:ascii="Times New Roman" w:hAnsi="Times New Roman" w:cs="Times New Roman"/>
          <w:b/>
          <w:bCs/>
          <w:sz w:val="24"/>
          <w:szCs w:val="24"/>
        </w:rPr>
        <w:t>6.2.3. Аварии на автомобильном транспорте</w:t>
      </w:r>
      <w:bookmarkEnd w:id="157"/>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Опасность возникновения ЧС на транспорте связана с перевозимыми по автомобильным дорогам опасными грузами – АХОВ (наиболее часто перевозят аммиак и хлор), взрыво- и пожароопасных веществ (ГСМ – горюче-смазочные материалы и СУГ - сжиженный углеводородный газ).</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Аварии на автомобильном транспорте происходят по различным причинам, зависящим как от человеческого фактора (нарушение правил дорожного движения), так и от технического состояния дорожных путей (неровности покрытий с дефектами, отсутствие горизонтальной разметки и ограждений на опасных участках, недостаточное освещение дорог и остановок общественного транспорта, качество покрытий – низкое сцепление, особенно зимой, и другие факторы).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Наиболее опасными местами возможного возникновения ЧС в системе автомобильных магистралей являются населенные пункты, мостовые переходы, места пересечения автодорог.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Основную опасность на автотранспорте представляют собой аварии с участием бензовозов, перевозящих нефтепродукты. Наиболее опасными ЧС, возникновение которых возможно при транспортировке нефтепродуктов: распространение нефти по </w:t>
      </w:r>
      <w:r w:rsidRPr="00DA5C72">
        <w:rPr>
          <w:rFonts w:ascii="Times New Roman" w:hAnsi="Times New Roman" w:cs="Times New Roman"/>
          <w:sz w:val="24"/>
          <w:szCs w:val="24"/>
        </w:rPr>
        <w:lastRenderedPageBreak/>
        <w:t>поверхности грунта, на болотах, на малых водотоках. Особую опасность могут представлять автомобильные аварии бензовозов с последующим возгоранием.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 территории объекта градостроительной деятельности проходит автомобильная дорога общего пользования регионального значения Пушкинские Горы - Локня.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Автомобильным транспортом перевозится СУГ и ГСМ. Это представляет собой потенциальную опасность в случае возникновения аварии на автомобильном транспорте.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Зоны возможных сильных разрушений на территории объекта градостроительной деятельности от взрывов, происходящих в мирное время, прогнозируются в районах размещения объектов, являющихся взрывоопасными.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 приказом МЧС России от 25.10.2004 № 484 «Об утверждении типового паспорта безопасности территорий субъектов Российской Федерации и муниципальных образований» разработка паспорта безопасности территории муниципального образования организуется органом местного самоуправления.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ЛВЖ.</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78 - Зоны действия поражающих факторов при разгерметизации автомобильной цистерны, перевозящей ЛВЖ (бензин) (17 куб.м.)</w:t>
      </w:r>
    </w:p>
    <w:tbl>
      <w:tblPr>
        <w:tblStyle w:val="aa"/>
        <w:tblW w:w="5000" w:type="pct"/>
        <w:jc w:val="center"/>
        <w:tblLook w:val="04A0" w:firstRow="1" w:lastRow="0" w:firstColumn="1" w:lastColumn="0" w:noHBand="0" w:noVBand="1"/>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12 938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87,7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229,2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714,5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81,9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103,2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458,4</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28,6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77 628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Время наиболее опасного события 2,4*10-7 год-1, возможное количество погибших - 2 человека, возможное количество пострадавших – 4 человека, возможный ущерб – 3,8 млн.руб.</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СУГ</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79 - Зоны действия поражающих факторов при разгерметизации автомобильной цистерны, перевозящей СУГ (пропан) (17 куб.м.)</w:t>
      </w:r>
    </w:p>
    <w:tbl>
      <w:tblPr>
        <w:tblStyle w:val="aa"/>
        <w:tblW w:w="5000" w:type="pct"/>
        <w:jc w:val="center"/>
        <w:tblLook w:val="04A0" w:firstRow="1" w:lastRow="0" w:firstColumn="1" w:lastColumn="0" w:noHBand="0" w:noVBand="1"/>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14 304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90,7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132,7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236,9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738,7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106,7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474,1</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 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24,3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Непереносимая боль через 3-5 с. Ожог 1-й степени через 6-8 с. Ожог 2-й степени через 12-16 с. (10,5 </w:t>
            </w:r>
            <w:r w:rsidRPr="00DA5C72">
              <w:rPr>
                <w:rFonts w:ascii="Times New Roman" w:hAnsi="Times New Roman" w:cs="Times New Roman"/>
                <w:sz w:val="24"/>
                <w:szCs w:val="24"/>
              </w:rPr>
              <w:lastRenderedPageBreak/>
              <w:t>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32,5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76,0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85 824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Вероятность наиболее опасного события 2,4*10-7 год -1. Возможное количество погибших – 6 человек, возможное количество пострадавших – 4 человека, возможный ущерб – 4.1 млн. руб.</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8" w:name="_Toc216434308"/>
      <w:r w:rsidRPr="00DA5C72">
        <w:rPr>
          <w:rFonts w:ascii="Times New Roman" w:hAnsi="Times New Roman" w:cs="Times New Roman"/>
          <w:b/>
          <w:bCs/>
          <w:sz w:val="24"/>
          <w:szCs w:val="24"/>
        </w:rPr>
        <w:t>6.2.4. Аварии на трубопроводном транспорте</w:t>
      </w:r>
      <w:bookmarkEnd w:id="158"/>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перспективе опасность риска возникновения ЧС будет представлять проектируемый магистральный газопровод, который будет проходить в центральной части района, а также межпоселковые газопроводы.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Основными причинами аварий и пожаров на трубопроводном транспорте могут быть: брак строительно-монтажных работ, внешнее механическое воздействие и стресс-подземная коррозия металла, коррозионное разрушение трубопроводов.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местах повреждения происходит истечение газа под высоким давлением в окружающую среду. Смешиваясь с воздухом, газы образуют облако взрывоопасной смеси.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Санитарно-защитные и охранные зоны газопроводов указаны на проектном плане и являются зонами планировочных ограничений.</w:t>
      </w:r>
    </w:p>
    <w:p w:rsidR="00DA5C72" w:rsidRPr="00DA5C72" w:rsidRDefault="00DA5C72" w:rsidP="00DA5C72">
      <w:pPr>
        <w:spacing w:after="0" w:line="240" w:lineRule="auto"/>
        <w:jc w:val="both"/>
        <w:rPr>
          <w:rFonts w:ascii="Times New Roman" w:hAnsi="Times New Roman" w:cs="Times New Roman"/>
          <w:sz w:val="24"/>
          <w:szCs w:val="24"/>
          <w:u w:val="single"/>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59" w:name="_Toc216434309"/>
      <w:r w:rsidRPr="00DA5C72">
        <w:rPr>
          <w:rFonts w:ascii="Times New Roman" w:hAnsi="Times New Roman" w:cs="Times New Roman"/>
          <w:b/>
          <w:bCs/>
          <w:sz w:val="24"/>
          <w:szCs w:val="24"/>
        </w:rPr>
        <w:t>6.2.5. Аварии на пожароопасных и взрывоопасных объектах</w:t>
      </w:r>
      <w:bookmarkEnd w:id="159"/>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К взрывоопасным объектам на территории района относятся (общий объем используемых хранимых опасных веществ 0,243 тыс. 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АЗС – 2 действующих объекта (АЗС № 21 ООО «Псковнефтепродукт» филиал «Великолукская нефтебаза» (г. Новоржев, ул. Пушкина, д. 149), заправочный пункт ГП ПО ДЭУ-№2 Новоржевский филиал (г. Новоржев, ул. Карла Маркса, д. 5) и 1 недействующая в настоящее время АЗС № 31 (г. Новоржев, ул. Германа, д.26). В зону возможной ЧС (расстояние от АЗС 30 м) попадает территория ОАО «Агропромсервис», цех по переработке древесины, автостанция, два жилых дома;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склад и емкости хранения газа – 5 объектов (д. Орша емкость газа, г. Новоржев три емкости газа и склад);</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котельная завода «Ленок» – 1 объект (г. Новоржев, ул. Пушкина, д. 140).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К пожароопасным объектам относятся – лесхоз (ГП ПО «Лесхозпром» Новоржевский участок (г. Новоржев, ул. Германа, д. 5), цеха по переработке леса – 2 объекта (на </w:t>
      </w:r>
      <w:r w:rsidRPr="00DA5C72">
        <w:rPr>
          <w:rFonts w:ascii="Times New Roman" w:hAnsi="Times New Roman" w:cs="Times New Roman"/>
          <w:sz w:val="24"/>
          <w:szCs w:val="24"/>
        </w:rPr>
        <w:lastRenderedPageBreak/>
        <w:t xml:space="preserve">территории мастерских СПК «Ругодево» и на территории льносемстанции в д. Стехново).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Авария с разгерметизацией автомобильной цистерны, перевозящей ЛВЖ.</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78 - Зоны действия поражающих факторов при разгерметизации автомобильной цистерны, перевозящей ЛВЖ (бензин) (17 куб.м.)</w:t>
      </w:r>
    </w:p>
    <w:tbl>
      <w:tblPr>
        <w:tblStyle w:val="aa"/>
        <w:tblW w:w="5000" w:type="pct"/>
        <w:jc w:val="center"/>
        <w:tblLook w:val="04A0" w:firstRow="1" w:lastRow="0" w:firstColumn="1" w:lastColumn="0" w:noHBand="0" w:noVBand="1"/>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12 938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87,7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229,2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714,5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81,9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103,2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458,4</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28,6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77 628</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Время наиболее опасного события 2,4*10-7 год-1, возможное количество погибших - 2 человека, возможное количество пострадавших – 4 человека, возможный ущерб – 3,8 млн.руб.</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Авария с разгерметизацией автомобильной цистерны, может привести к возгоранию на пожароопасном объекте. </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79 - Зоны действия поражающих факторов при разгерметизации автомобильной цистерны, перевозящей СУГ (пропан) (17 куб.м.)</w:t>
      </w:r>
    </w:p>
    <w:tbl>
      <w:tblPr>
        <w:tblStyle w:val="aa"/>
        <w:tblW w:w="5000" w:type="pct"/>
        <w:jc w:val="center"/>
        <w:tblLook w:val="04A0" w:firstRow="1" w:lastRow="0" w:firstColumn="1" w:lastColumn="0" w:noHBand="0" w:noVBand="1"/>
      </w:tblPr>
      <w:tblGrid>
        <w:gridCol w:w="3142"/>
        <w:gridCol w:w="4090"/>
        <w:gridCol w:w="2197"/>
      </w:tblGrid>
      <w:tr w:rsidR="00DA5C72" w:rsidRPr="00DA5C72" w:rsidTr="00DA5C72">
        <w:trPr>
          <w:tblHeader/>
          <w:jc w:val="center"/>
        </w:trPr>
        <w:tc>
          <w:tcPr>
            <w:tcW w:w="1666"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Приведенная масса газовоздушной смеси, кг</w:t>
            </w:r>
          </w:p>
        </w:tc>
        <w:tc>
          <w:tcPr>
            <w:tcW w:w="2169"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Параметры</w:t>
            </w:r>
          </w:p>
        </w:tc>
        <w:tc>
          <w:tcPr>
            <w:tcW w:w="1164" w:type="pct"/>
            <w:vAlign w:val="center"/>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Расстояние, м</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Взрыв ТВС</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14 304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Полное разрушение зданий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50%-ное разрушение зданий (ΔР = 53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90,7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повреждения зданий (ΔР = 28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132,7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Умеренные повреждения зданий (ΔР = 12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236,9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Малые повреждения (разбита часть остекления) (ΔР = 3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738,7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Крайне тяжелые (смертельные) травмы (ΔР = 100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Тяжелые травмы (ΔР = 60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84,6</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Средние травмы (ΔР = 40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106,7</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Легкие травмы (ΔР = 20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165,3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Нижний порог повреждения человека волной давления (ΔР = 5 кПА)</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474,1</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 Пожар проливов ЛВЖ</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13 600</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пламени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42,2</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Диаметр факела (d)</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24,3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Воспламенение древесины и фанеры (17,0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26,0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Непереносимая боль через 3-5 с. Ожог 1-й степени через 6-8 с. Ожог 2-й степени через 12-16 с. (10,5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32,5</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Безопасно для человека в брезенторвой одежде (4,2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50,0</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Без негативных последствий в течение длительного времени (1,4 кВт/кв.м)</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76,0</w:t>
            </w:r>
          </w:p>
        </w:tc>
      </w:tr>
      <w:tr w:rsidR="00DA5C72" w:rsidRPr="00DA5C72" w:rsidTr="00DA5C72">
        <w:trPr>
          <w:jc w:val="center"/>
        </w:trPr>
        <w:tc>
          <w:tcPr>
            <w:tcW w:w="5000" w:type="pct"/>
            <w:gridSpan w:val="3"/>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«Огненный шар»</w:t>
            </w:r>
          </w:p>
        </w:tc>
      </w:tr>
      <w:tr w:rsidR="00DA5C72" w:rsidRPr="00DA5C72" w:rsidTr="00DA5C72">
        <w:trPr>
          <w:jc w:val="center"/>
        </w:trPr>
        <w:tc>
          <w:tcPr>
            <w:tcW w:w="1666" w:type="pct"/>
            <w:vMerge w:val="restar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85 824</w:t>
            </w: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Время существования «огненного шара» (t, сек)</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16,4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Эффективный диаметр «огненного шара» (Ds)</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119,8</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Высота центра «огненного шара» (Н)</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59,9</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320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171,3</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220 Дж/кв.м. Ожог 2-й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202,4</w:t>
            </w:r>
          </w:p>
        </w:tc>
      </w:tr>
      <w:tr w:rsidR="00DA5C72" w:rsidRPr="00DA5C72" w:rsidTr="00DA5C72">
        <w:trPr>
          <w:jc w:val="center"/>
        </w:trPr>
        <w:tc>
          <w:tcPr>
            <w:tcW w:w="1666" w:type="pct"/>
            <w:vMerge/>
            <w:vAlign w:val="center"/>
          </w:tcPr>
          <w:p w:rsidR="00DA5C72" w:rsidRPr="00DA5C72" w:rsidRDefault="00DA5C72" w:rsidP="00DA5C72">
            <w:pPr>
              <w:jc w:val="both"/>
              <w:rPr>
                <w:rFonts w:ascii="Times New Roman" w:hAnsi="Times New Roman" w:cs="Times New Roman"/>
                <w:sz w:val="24"/>
                <w:szCs w:val="24"/>
              </w:rPr>
            </w:pPr>
          </w:p>
        </w:tc>
        <w:tc>
          <w:tcPr>
            <w:tcW w:w="2169"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Доза теплового излучения, 120 Дж/кв.м. Ожог 3-й степени</w:t>
            </w:r>
          </w:p>
        </w:tc>
        <w:tc>
          <w:tcPr>
            <w:tcW w:w="1164" w:type="pct"/>
            <w:vAlign w:val="center"/>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257,8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Вероятность наиболее опасного события 2,4*10-7 год -1. Возможное количество погибших – 6 человек, возможное количество пострадавших – 4 человека, возможный ущерб – 4.1 млн. руб.</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60" w:name="_Toc216434310"/>
      <w:r w:rsidRPr="00DA5C72">
        <w:rPr>
          <w:rFonts w:ascii="Times New Roman" w:hAnsi="Times New Roman" w:cs="Times New Roman"/>
          <w:b/>
          <w:bCs/>
          <w:sz w:val="24"/>
          <w:szCs w:val="24"/>
        </w:rPr>
        <w:t>6.2.6. Аварии на объектах инженерной инфраструктуры</w:t>
      </w:r>
      <w:bookmarkEnd w:id="160"/>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При авариях на сетях электро-, тепло-, водоснабжения и канализации будет нарушена нормальная жизнедеятельность населения района.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Водоснабжение.</w:t>
      </w:r>
      <w:r w:rsidRPr="00DA5C72">
        <w:rPr>
          <w:rFonts w:ascii="Times New Roman" w:hAnsi="Times New Roman" w:cs="Times New Roman"/>
          <w:sz w:val="24"/>
          <w:szCs w:val="24"/>
        </w:rPr>
        <w:t xml:space="preserve"> Наиболее вероятны аварии на разводящих сетях, насосных станциях, напорных башнях.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авариях на коллекторах канализационных сетей фекальные воды могут попасть в водопровод и водоемы области, что приведет к инфекционным и другим заболеваниям.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Электроснабжение.</w:t>
      </w:r>
      <w:r w:rsidRPr="00DA5C72">
        <w:rPr>
          <w:rFonts w:ascii="Times New Roman" w:hAnsi="Times New Roman" w:cs="Times New Roman"/>
          <w:sz w:val="24"/>
          <w:szCs w:val="24"/>
        </w:rPr>
        <w:t xml:space="preserve"> При обрывах проводов почти всегда происходят короткие замыкания, а они в свою очередь приводят к пожарам. При отсутствии электроэнергии, прекращается подача воды и тепла, нарушается работа предприятий и организаций.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Теплоснабжение.</w:t>
      </w:r>
      <w:r w:rsidRPr="00DA5C72">
        <w:rPr>
          <w:rFonts w:ascii="Times New Roman" w:hAnsi="Times New Roman" w:cs="Times New Roman"/>
          <w:sz w:val="24"/>
          <w:szCs w:val="24"/>
        </w:rPr>
        <w:t xml:space="preserve"> При авариях на теплотрассах, в котельных и разводящих сетях часть населения муниципального района, предприятия и организации могут остаться без тепла. Кроме того, подача тепла может прекратиться из-за прекращения подачи на котельные газа и электроэнергии.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Газоснабжение.</w:t>
      </w:r>
      <w:r w:rsidRPr="00DA5C72">
        <w:rPr>
          <w:rFonts w:ascii="Times New Roman" w:hAnsi="Times New Roman" w:cs="Times New Roman"/>
          <w:sz w:val="24"/>
          <w:szCs w:val="24"/>
        </w:rPr>
        <w:t xml:space="preserve"> В связи с планируемой газификацией района в перспективе потенциальную опасность риска возникновения ЧС будут представлять межпоселковые газопроводы. Особую опасность могут представлять аварии на газопроводах с последующим возгоранием.</w:t>
      </w:r>
    </w:p>
    <w:p w:rsidR="00DA5C72" w:rsidRPr="00DA5C72" w:rsidRDefault="00DA5C72" w:rsidP="00DA5C72">
      <w:pPr>
        <w:spacing w:after="0" w:line="240" w:lineRule="auto"/>
        <w:jc w:val="both"/>
        <w:rPr>
          <w:rFonts w:ascii="Times New Roman" w:hAnsi="Times New Roman" w:cs="Times New Roman"/>
          <w:i/>
          <w:sz w:val="24"/>
          <w:szCs w:val="24"/>
        </w:rPr>
      </w:pPr>
    </w:p>
    <w:p w:rsidR="00DA5C72" w:rsidRPr="00DA5C72" w:rsidRDefault="00DA5C72" w:rsidP="00DA5C72">
      <w:pPr>
        <w:spacing w:after="0" w:line="240" w:lineRule="auto"/>
        <w:jc w:val="center"/>
        <w:rPr>
          <w:rFonts w:ascii="Times New Roman" w:hAnsi="Times New Roman" w:cs="Times New Roman"/>
          <w:b/>
          <w:bCs/>
          <w:sz w:val="24"/>
          <w:szCs w:val="24"/>
        </w:rPr>
      </w:pPr>
      <w:bookmarkStart w:id="161" w:name="_Toc216434311"/>
      <w:r w:rsidRPr="00DA5C72">
        <w:rPr>
          <w:rFonts w:ascii="Times New Roman" w:hAnsi="Times New Roman" w:cs="Times New Roman"/>
          <w:b/>
          <w:bCs/>
          <w:sz w:val="24"/>
          <w:szCs w:val="24"/>
        </w:rPr>
        <w:t>6.3. Перечень мероприятий по защите от чрезвычайных природных и техногенных процессов</w:t>
      </w:r>
      <w:bookmarkEnd w:id="161"/>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проводится по следующим направлениям: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мониторинг и прогнозирование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рациональное размещение производительных сил по территории района с учетом природной и техногенной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предотвращение, в возможных пределах, некоторых неблагоприятных и опасных природных явлений, и процессов путем систематического снижения их накапливающегося разрушительного потенциала;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разработка и осуществление инженерно-технических мероприятий, направленных на предотвращение источников чрезвычайных ситуаций, смягчение их последствий, защиту населения и материальных средств;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подготовка объектов экономики и систем жизнеобеспечения населения к работе в условиях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установка громкоговорителей во всех населенных пунктах Новоржевского района;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создание запасов средств для ликвидации последствий ЧС;</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реконструкция и увеличение емкости существующих ПРУ и др.</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декларирование промышленной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лицензирование деятельности опасных производственных объектов;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страхование ответственности за причинение вреда при эксплуатации опасного производственного объекта;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защиты продовольствия, воды от заражения;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населения средствами индивидуальной защиты;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проведение государственной экспертизы в области предупреждения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государственный надзор и контроль по вопросам природной и техногенной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информирование населения о потенциальных природных и техногенных угрозах на территории проживания;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подготовка населения в области защиты от чрезвычайных ситуаций.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Мероприятия должны осуществляться единым комплексом в течение всего расчетного срока Схемы территориального планирования.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Мероприятия по предотвращению опасностей метеорологического характера: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нормальной жизнедеятельности населения района в зимнее время: очистка от снега дорог и подъездов к водоисточникам, населенным пунктам;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своевременное оповещение об угрозе приближения урагана или сильной бури;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укрепление наземных зданий и сооружений при угрозе возникновения урагана.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целях защиты территорий от затоплений и подтоплений необходимо организовывать: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непрерывное наблюдение за гидрологической обстановкой на реках и водоемах муниципального района и оповещение об угрозе подтопления;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искусственное повышение поверхности территорий;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устройство дамб обвалования;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регулирование стока и отвода поверхностных и подземных вод;</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устройство дренажных систем и отдельных дренажей;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регулирование русел и стока рек;</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агролесомелиорацию.</w:t>
      </w:r>
    </w:p>
    <w:p w:rsid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Реестр населённых пунктов Псковской области, попадающих в зоны подтопления в результате гидрологических и гидродинамических явлений и процессов в соответствии с приложением к распоряжению КЧС и ПБ области № 14 от 08 июня 2021 года.</w:t>
      </w:r>
    </w:p>
    <w:p w:rsid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80 - Реестр рисков затопления населенных пунктов Псковской области, попадающих в зону затопления, подтопления, вызванных различными гидрологическими и гидродинамическими явлениями и процессами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665"/>
        <w:gridCol w:w="394"/>
        <w:gridCol w:w="1048"/>
        <w:gridCol w:w="1045"/>
        <w:gridCol w:w="1069"/>
        <w:gridCol w:w="633"/>
        <w:gridCol w:w="843"/>
        <w:gridCol w:w="1055"/>
        <w:gridCol w:w="733"/>
        <w:gridCol w:w="944"/>
      </w:tblGrid>
      <w:tr w:rsidR="00DA5C72" w:rsidRPr="00DA5C72" w:rsidTr="00DA5C72">
        <w:trPr>
          <w:trHeight w:val="23"/>
          <w:tblHeader/>
        </w:trPr>
        <w:tc>
          <w:tcPr>
            <w:tcW w:w="453"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xml:space="preserve">Район, </w:t>
            </w:r>
            <w:r w:rsidRPr="00DA5C72">
              <w:rPr>
                <w:rFonts w:ascii="Times New Roman" w:hAnsi="Times New Roman" w:cs="Times New Roman"/>
                <w:b/>
                <w:bCs/>
                <w:sz w:val="24"/>
                <w:szCs w:val="24"/>
              </w:rPr>
              <w:lastRenderedPageBreak/>
              <w:t>городской</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округ</w:t>
            </w:r>
          </w:p>
        </w:tc>
        <w:tc>
          <w:tcPr>
            <w:tcW w:w="482"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Вод</w:t>
            </w:r>
            <w:r w:rsidRPr="00DA5C72">
              <w:rPr>
                <w:rFonts w:ascii="Times New Roman" w:hAnsi="Times New Roman" w:cs="Times New Roman"/>
                <w:b/>
                <w:bCs/>
                <w:sz w:val="24"/>
                <w:szCs w:val="24"/>
              </w:rPr>
              <w:lastRenderedPageBreak/>
              <w:t>ный объект</w:t>
            </w:r>
          </w:p>
        </w:tc>
        <w:tc>
          <w:tcPr>
            <w:tcW w:w="1143" w:type="pct"/>
            <w:gridSpan w:val="2"/>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Населенны</w:t>
            </w:r>
            <w:r w:rsidRPr="00DA5C72">
              <w:rPr>
                <w:rFonts w:ascii="Times New Roman" w:hAnsi="Times New Roman" w:cs="Times New Roman"/>
                <w:b/>
                <w:bCs/>
                <w:sz w:val="24"/>
                <w:szCs w:val="24"/>
              </w:rPr>
              <w:lastRenderedPageBreak/>
              <w:t>й пункт</w:t>
            </w:r>
          </w:p>
        </w:tc>
        <w:tc>
          <w:tcPr>
            <w:tcW w:w="392"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Крити</w:t>
            </w:r>
            <w:r w:rsidRPr="00DA5C72">
              <w:rPr>
                <w:rFonts w:ascii="Times New Roman" w:hAnsi="Times New Roman" w:cs="Times New Roman"/>
                <w:b/>
                <w:bCs/>
                <w:sz w:val="24"/>
                <w:szCs w:val="24"/>
              </w:rPr>
              <w:lastRenderedPageBreak/>
              <w:t>ческий уровень, при ко</w:t>
            </w: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тором происходит затопление (подтопление), см</w:t>
            </w:r>
          </w:p>
        </w:tc>
        <w:tc>
          <w:tcPr>
            <w:tcW w:w="367"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Количе</w:t>
            </w:r>
            <w:r w:rsidRPr="00DA5C72">
              <w:rPr>
                <w:rFonts w:ascii="Times New Roman" w:hAnsi="Times New Roman" w:cs="Times New Roman"/>
                <w:b/>
                <w:bCs/>
                <w:sz w:val="24"/>
                <w:szCs w:val="24"/>
              </w:rPr>
              <w:lastRenderedPageBreak/>
              <w:t>ство пострадавшего населения</w:t>
            </w:r>
          </w:p>
        </w:tc>
        <w:tc>
          <w:tcPr>
            <w:tcW w:w="1700" w:type="pct"/>
            <w:gridSpan w:val="4"/>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lastRenderedPageBreak/>
              <w:t>Объекты затопления</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r>
      <w:tr w:rsidR="00DA5C72" w:rsidRPr="00DA5C72" w:rsidTr="00DA5C72">
        <w:trPr>
          <w:trHeight w:val="1449"/>
          <w:tblHeader/>
        </w:trPr>
        <w:tc>
          <w:tcPr>
            <w:tcW w:w="453"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82"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1143" w:type="pct"/>
            <w:gridSpan w:val="2"/>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92"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67" w:type="pct"/>
            <w:vMerge/>
            <w:tcBorders>
              <w:bottom w:val="single" w:sz="4" w:space="0" w:color="auto"/>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2"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Жилые здания</w:t>
            </w:r>
          </w:p>
        </w:tc>
        <w:tc>
          <w:tcPr>
            <w:tcW w:w="399"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Социально значимые объекты</w:t>
            </w:r>
          </w:p>
        </w:tc>
        <w:tc>
          <w:tcPr>
            <w:tcW w:w="503"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Объекты экономики/ потенциально-опасные объекты</w:t>
            </w:r>
          </w:p>
        </w:tc>
        <w:tc>
          <w:tcPr>
            <w:tcW w:w="465"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Объекты жизне-обеспе-чения</w:t>
            </w:r>
          </w:p>
        </w:tc>
        <w:tc>
          <w:tcPr>
            <w:tcW w:w="463" w:type="pct"/>
            <w:vMerge w:val="restart"/>
            <w:tcBorders>
              <w:bottom w:val="single" w:sz="4" w:space="0" w:color="auto"/>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Реестровый номер зоны затопления, зоны подтопления</w:t>
            </w:r>
          </w:p>
        </w:tc>
      </w:tr>
      <w:tr w:rsidR="00DA5C72" w:rsidRPr="00DA5C72" w:rsidTr="00DA5C72">
        <w:trPr>
          <w:trHeight w:val="23"/>
          <w:tblHeader/>
        </w:trPr>
        <w:tc>
          <w:tcPr>
            <w:tcW w:w="45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8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267" w:type="pct"/>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 п/п</w:t>
            </w:r>
          </w:p>
        </w:tc>
        <w:tc>
          <w:tcPr>
            <w:tcW w:w="876" w:type="pct"/>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населенного пункта</w:t>
            </w:r>
          </w:p>
        </w:tc>
        <w:tc>
          <w:tcPr>
            <w:tcW w:w="39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67"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32"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399"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50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65"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c>
          <w:tcPr>
            <w:tcW w:w="46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b/>
                <w:bCs/>
                <w:sz w:val="24"/>
                <w:szCs w:val="24"/>
              </w:rPr>
            </w:pPr>
          </w:p>
        </w:tc>
      </w:tr>
      <w:tr w:rsidR="00DA5C72" w:rsidRPr="00DA5C72" w:rsidTr="00DA5C72">
        <w:trPr>
          <w:trHeight w:val="23"/>
        </w:trPr>
        <w:tc>
          <w:tcPr>
            <w:tcW w:w="453" w:type="pct"/>
            <w:vMerge w:val="restar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Новоржевский</w:t>
            </w:r>
            <w:r w:rsidRPr="00DA5C72">
              <w:rPr>
                <w:rFonts w:ascii="Times New Roman" w:hAnsi="Times New Roman" w:cs="Times New Roman"/>
                <w:sz w:val="24"/>
                <w:szCs w:val="24"/>
                <w:lang w:val="en-US"/>
              </w:rPr>
              <w:t xml:space="preserve"> </w:t>
            </w:r>
            <w:r w:rsidRPr="00DA5C72">
              <w:rPr>
                <w:rFonts w:ascii="Times New Roman" w:hAnsi="Times New Roman" w:cs="Times New Roman"/>
                <w:sz w:val="24"/>
                <w:szCs w:val="24"/>
              </w:rPr>
              <w:t>район</w:t>
            </w:r>
          </w:p>
        </w:tc>
        <w:tc>
          <w:tcPr>
            <w:tcW w:w="48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оз. Орша</w:t>
            </w:r>
          </w:p>
        </w:tc>
        <w:tc>
          <w:tcPr>
            <w:tcW w:w="2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24</w:t>
            </w:r>
          </w:p>
        </w:tc>
        <w:tc>
          <w:tcPr>
            <w:tcW w:w="876"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г. Новоржев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Широта (57.029623)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Долгота (29.332419)</w:t>
            </w:r>
          </w:p>
        </w:tc>
        <w:tc>
          <w:tcPr>
            <w:tcW w:w="39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3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120</w:t>
            </w:r>
          </w:p>
        </w:tc>
        <w:tc>
          <w:tcPr>
            <w:tcW w:w="33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45</w:t>
            </w:r>
          </w:p>
        </w:tc>
        <w:tc>
          <w:tcPr>
            <w:tcW w:w="399"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50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5"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Зона затопления: 60:10-6.470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Зона подтопления: 60:10-6.472</w:t>
            </w:r>
          </w:p>
        </w:tc>
      </w:tr>
      <w:tr w:rsidR="00DA5C72" w:rsidRPr="00DA5C72" w:rsidTr="00DA5C72">
        <w:trPr>
          <w:trHeight w:val="23"/>
        </w:trPr>
        <w:tc>
          <w:tcPr>
            <w:tcW w:w="453" w:type="pct"/>
            <w:vMerge/>
            <w:tcBorders>
              <w:tl2br w:val="nil"/>
              <w:tr2bl w:val="nil"/>
            </w:tcBorders>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8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 Льста</w:t>
            </w:r>
          </w:p>
        </w:tc>
        <w:tc>
          <w:tcPr>
            <w:tcW w:w="2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25</w:t>
            </w:r>
          </w:p>
        </w:tc>
        <w:tc>
          <w:tcPr>
            <w:tcW w:w="876"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Волочицкое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Широта (57.050186)</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Долгота (29.430740)</w:t>
            </w:r>
          </w:p>
        </w:tc>
        <w:tc>
          <w:tcPr>
            <w:tcW w:w="39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w:t>
            </w:r>
          </w:p>
        </w:tc>
        <w:tc>
          <w:tcPr>
            <w:tcW w:w="367"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29</w:t>
            </w:r>
          </w:p>
        </w:tc>
        <w:tc>
          <w:tcPr>
            <w:tcW w:w="332"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w:t>
            </w:r>
          </w:p>
        </w:tc>
        <w:tc>
          <w:tcPr>
            <w:tcW w:w="399"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50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5"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нет</w:t>
            </w:r>
          </w:p>
        </w:tc>
        <w:tc>
          <w:tcPr>
            <w:tcW w:w="463" w:type="pct"/>
            <w:tcBorders>
              <w:tl2br w:val="nil"/>
              <w:tr2bl w:val="nil"/>
            </w:tcBorders>
            <w:shd w:val="clear" w:color="000000" w:fill="FFFFFF"/>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Зона затопления: 60:10-6.471</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 Зона подтопления: 60:10-6.469</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соответствии со статьей 100 Лесного кодекса в целях предотвращения лесных и торфяных пожаров и борьбы с ними необходимо: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организовывать ежегодно разработку и выполнение планов мероприятий по профилактике лесных пожаров, противопожарному обустройству лесного фонда и не входящих в лесной фонд лесов;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обеспечивать готовность к пожароопасному сезону организаций, на которые возложены охрана и защита лесов, а также лесопользователей;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утверждать ежегодно до начала пожароопасного сезона оперативные планы борьбы с лесными пожарами;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устанавливать порядок привлечения сил и средств для тушения природных пожаров, обеспечивать привлекаемых к этой работе граждан средствами передвижения, питанием и медицинской помощью;</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создавать резерв горючесмазочных материалов на пожароопасный сезон;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ограничить посещение лесов в период засушливого лета;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очистка территорий населенных пунктов от малоценных легкосгораемых строений (заборы, сараи);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устройство при необходимости заградительных минерализованных полос для населенных пунктов, находящихся вблизи лесных массивов;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lastRenderedPageBreak/>
        <w:t>- провести мероприятия по расчистке и содержанию в надлежащем состоянии существующих противопожарных водоемов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очистка, утепление пожарных гидрантов и горловин пожарных водоемов в зимнее время в населенных пунктах муниципального образования;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техногенной сфере работа по предупреждению аварий должна вестись на конкретных объектах и производствах. Для этого используются общие научные, инженерно-конструкторские, технологические меры, служащие методической базой для предотвращения аварий. Такими мерами являются: 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 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и многое другое.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Необходимо планировать размещение потенциально опасных техногенных объектов с учетом природных факторов, поскольку существование многофакторных опасностей природного характера увеличивает вероятность возникновения и тяжесть последствий чрезвычайных ситуаций техногенного характера.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взрывопожароопасных объектах необходимо осуществлять: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строительство и ремонт пожарных водоемов, пирсов и подъездов к ним;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установку систем пожарной сигнализации;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монтаж автоматических установок пожаротушения;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обеспечение исправности электропроводки и электрооборудования;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соблюдение технологических норм перевозки и хранения взрывчатых веществ и проведения взрывных работ;</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профилактическую работу среди населения;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поддержание в готовности противопожарных формирований.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Химически-опасные объекты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Из существующих складов хранения устаревших пестицидов необходимо провезти вывоз и консервацию химически-опасных веществ, исключив при этом их попадание в водоемы. После вывоза пестицидов необходимо провести рекультивацию территорий складов.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Мероприятия по предупреждению (снижению) последствий аварий на автомобильном транспорте: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постоянный контроль за состоянием автомобильных дорог, техническим состоянием автомобилей;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своевременный ремонт автомобилей и автомобильных 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поддержание в постоянной готовности сил и средств для своевременного ремонта автомобилей и автомобильных дорог;</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соблюдение технологических норм и правил эксплуатации автомобилей;</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организация взаимодействия сил и средств, обеспечивающих ликвидацию чрезвычайных ситуаций на автомобильном транспорте.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предотвращения аварий на объектах инженерной инфраструктуры необходимо осуществление мер по укреплению и защите систем тепло-, электроснабжения и связи и других инженерных коммуникаций.</w:t>
      </w:r>
    </w:p>
    <w:p w:rsidR="00DA5C72" w:rsidRPr="00DA5C72" w:rsidRDefault="00DA5C72" w:rsidP="00DA5C72">
      <w:pPr>
        <w:spacing w:after="0" w:line="240" w:lineRule="auto"/>
        <w:jc w:val="both"/>
        <w:rPr>
          <w:rFonts w:ascii="Times New Roman" w:hAnsi="Times New Roman" w:cs="Times New Roman"/>
          <w:sz w:val="24"/>
          <w:szCs w:val="24"/>
          <w:u w:val="single"/>
        </w:rPr>
      </w:pPr>
      <w:r w:rsidRPr="00DA5C72">
        <w:rPr>
          <w:rFonts w:ascii="Times New Roman" w:hAnsi="Times New Roman" w:cs="Times New Roman"/>
          <w:sz w:val="24"/>
          <w:szCs w:val="24"/>
          <w:u w:val="single"/>
        </w:rPr>
        <w:t>Перечень мероприятий по обеспечению пожарной безопасности территории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мероприятия – это комплекс мер, являющихся неотъемлемой частью инженерно-технических мероприятий гражданской обороны, обеспечивающих устойчивость функционирования объектов экономики в военное время и в чрезвычайных ситуациях, безопасную жизнедеятельность человека (повышение защищенности </w:t>
      </w:r>
      <w:r w:rsidRPr="00DA5C72">
        <w:rPr>
          <w:rFonts w:ascii="Times New Roman" w:hAnsi="Times New Roman" w:cs="Times New Roman"/>
          <w:sz w:val="24"/>
          <w:szCs w:val="24"/>
        </w:rPr>
        <w:lastRenderedPageBreak/>
        <w:t xml:space="preserve">населения городского поселения от пожаров, сохранение жизни, здоровья и имущества граждан, юридических лиц).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Пожар - неконтролируемое горение, развивающееся во времени и пространстве.</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пожаре безопасность людей обеспечивается своевременным оповещением и беспрепятственной эвакуацией из опасных зон, спасением людей, оказавшихся в зоне задымления и повышенной температуры.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В рамках схемы территориального планирования предлагаются основные мероприятия: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Размещение пожарных депо с учетом нормативного времени прибытия первого подразделения к месту вызова (в городских населенных пунктах не более 10 минут, в сельских населенных пунктах не более 20 минут (п.1 ст.76 «Технического регламента о требованиях пожарной безопасности» от 22 июля 2008 г. №123-ФЗ);</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Оборудование подъездов с площадками (пирсами) с твёрдым покрытием для установки пожарных автомобилей и забора воды </w:t>
      </w:r>
      <w:r w:rsidRPr="00DA5C72">
        <w:rPr>
          <w:rFonts w:ascii="Times New Roman" w:hAnsi="Times New Roman" w:cs="Times New Roman"/>
          <w:bCs/>
          <w:sz w:val="24"/>
          <w:szCs w:val="24"/>
        </w:rPr>
        <w:t>к пожарным резервуарам, водоёмам, приёмным колодцам</w:t>
      </w:r>
      <w:r w:rsidRPr="00DA5C72">
        <w:rPr>
          <w:rFonts w:ascii="Times New Roman" w:hAnsi="Times New Roman" w:cs="Times New Roman"/>
          <w:sz w:val="24"/>
          <w:szCs w:val="24"/>
        </w:rPr>
        <w:t xml:space="preserve">, а также к градирням, брызгальным бассейнам и другим сооружениям, вода из которых может быть использована для тушения пожара (п. 10.10 СП 8.13130.2020 «Системы противопожарной защиты. Наружное противопожарное водоснабжение. Требования пожарной безопасности»);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Ликвидация ветхого и аварийного жилого фонда, реконструкция и замена его на современные жилые дома, соответствующие противопожарным требованиям, содержание существующего жилого фонда в надлежащем состоянии, с учетом требований пожарной безопасности; </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sz w:val="24"/>
          <w:szCs w:val="24"/>
        </w:rPr>
        <w:t>Усовершенствование транспортной системы и обеспечение беспрепятственного проезда пожарных, санитарных, аварийных машин ко всем зданиям и к садоводческим товариществам. На последующих стадиях проектирования необходимо предусматривать, закольцовку автомобильных проездов, устройство площадок для разворота транспорта на тупиковых проездах.</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sz w:val="24"/>
          <w:szCs w:val="24"/>
        </w:rPr>
        <w:t>Так же необходимо создание и обучение добровольных пожарных формирований, их оснащение техникой и оборудованием для пожаротушения, информирование и обучение населения правилам поведения при угрозе возникновения пожара, противопожарная пропаганда среди населения и др.</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u w:val="single"/>
        </w:rPr>
        <w:t>На объектах экономики</w:t>
      </w:r>
      <w:r w:rsidRPr="00DA5C72">
        <w:rPr>
          <w:rFonts w:ascii="Times New Roman" w:hAnsi="Times New Roman" w:cs="Times New Roman"/>
          <w:sz w:val="24"/>
          <w:szCs w:val="24"/>
        </w:rPr>
        <w:t>:</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Очистка территории производственных объектов от разбросанных легковозгораемых материалов, малоценных сгораемых строений (сараев, заборов);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Соблюдение противопожарных разрывов от зданий и строений; создание условий для маневра пожарных сил и средств в период тушения или локализации пожаров;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Сооружение специальных противопожарных резервуаров с водой и искусственных водоемов;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Повышение огнестойкости конструкций, создание специальных противопожарных преград.</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bCs/>
          <w:sz w:val="24"/>
          <w:szCs w:val="24"/>
        </w:rPr>
      </w:pPr>
      <w:r w:rsidRPr="00DA5C72">
        <w:rPr>
          <w:rFonts w:ascii="Times New Roman" w:hAnsi="Times New Roman" w:cs="Times New Roman"/>
          <w:b/>
          <w:bCs/>
          <w:sz w:val="24"/>
          <w:szCs w:val="24"/>
        </w:rPr>
        <w:t>Таблица 81 - Минимальные противопожарные расстояния (разрывы) между жилыми, общественными (в том числе административными, бытовыми) зданиями и сооружениями следует принимать в соответствии с таблицей и с учетом пунктов 4.4-4.13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tbl>
      <w:tblPr>
        <w:tblW w:w="5000" w:type="pct"/>
        <w:jc w:val="center"/>
        <w:shd w:val="clear" w:color="auto" w:fill="FFFFFF"/>
        <w:tblCellMar>
          <w:left w:w="0" w:type="dxa"/>
          <w:right w:w="0" w:type="dxa"/>
        </w:tblCellMar>
        <w:tblLook w:val="04A0" w:firstRow="1" w:lastRow="0" w:firstColumn="1" w:lastColumn="0" w:noHBand="0" w:noVBand="1"/>
      </w:tblPr>
      <w:tblGrid>
        <w:gridCol w:w="3758"/>
        <w:gridCol w:w="2211"/>
        <w:gridCol w:w="919"/>
        <w:gridCol w:w="719"/>
        <w:gridCol w:w="878"/>
        <w:gridCol w:w="876"/>
      </w:tblGrid>
      <w:tr w:rsidR="00DA5C72" w:rsidRPr="00DA5C72" w:rsidTr="00DA5C72">
        <w:trPr>
          <w:trHeight w:val="957"/>
          <w:tblHeader/>
          <w:jc w:val="center"/>
        </w:trPr>
        <w:tc>
          <w:tcPr>
            <w:tcW w:w="2007" w:type="pct"/>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Степень огнестойкости здания</w:t>
            </w:r>
          </w:p>
        </w:tc>
        <w:tc>
          <w:tcPr>
            <w:tcW w:w="1181" w:type="pct"/>
            <w:tcBorders>
              <w:top w:val="single" w:sz="6" w:space="0" w:color="000000"/>
              <w:left w:val="single" w:sz="6" w:space="0" w:color="000000"/>
              <w:bottom w:val="nil"/>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Класс конструктивной пожарной опасности</w:t>
            </w:r>
          </w:p>
        </w:tc>
        <w:tc>
          <w:tcPr>
            <w:tcW w:w="1811"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Минимальные расстояния при степени огнестойкости и классе конструктивной пожарной опасности жилых и общественных зданий, м</w:t>
            </w:r>
          </w:p>
        </w:tc>
      </w:tr>
      <w:tr w:rsidR="00DA5C72" w:rsidRPr="00DA5C72" w:rsidTr="00DA5C72">
        <w:trPr>
          <w:tblHeader/>
          <w:jc w:val="center"/>
        </w:trPr>
        <w:tc>
          <w:tcPr>
            <w:tcW w:w="2007" w:type="pct"/>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1181" w:type="pct"/>
            <w:tcBorders>
              <w:top w:val="nil"/>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r w:rsidRPr="00DA5C72">
              <w:rPr>
                <w:rFonts w:ascii="Times New Roman" w:hAnsi="Times New Roman" w:cs="Times New Roman"/>
                <w:sz w:val="24"/>
                <w:szCs w:val="24"/>
              </w:rPr>
              <w:br/>
              <w:t>С0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r w:rsidRPr="00DA5C72">
              <w:rPr>
                <w:rFonts w:ascii="Times New Roman" w:hAnsi="Times New Roman" w:cs="Times New Roman"/>
                <w:sz w:val="24"/>
                <w:szCs w:val="24"/>
              </w:rPr>
              <w:br/>
              <w:t>С1</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r w:rsidRPr="00DA5C72">
              <w:rPr>
                <w:rFonts w:ascii="Times New Roman" w:hAnsi="Times New Roman" w:cs="Times New Roman"/>
                <w:sz w:val="24"/>
                <w:szCs w:val="24"/>
              </w:rPr>
              <w:br/>
              <w:t>С0, С1</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IV, V</w:t>
            </w:r>
            <w:r w:rsidRPr="00DA5C72">
              <w:rPr>
                <w:rFonts w:ascii="Times New Roman" w:hAnsi="Times New Roman" w:cs="Times New Roman"/>
                <w:bCs/>
                <w:sz w:val="24"/>
                <w:szCs w:val="24"/>
              </w:rPr>
              <w:br/>
              <w:t>С2, С3</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Жилые и общественные</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 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 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С2, С3</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Производственные и складские</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 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II, III</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С0, С1</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r>
      <w:tr w:rsidR="00DA5C72" w:rsidRPr="00DA5C72" w:rsidTr="00DA5C72">
        <w:trPr>
          <w:jc w:val="center"/>
        </w:trPr>
        <w:tc>
          <w:tcPr>
            <w:tcW w:w="2007"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IV, V</w:t>
            </w:r>
          </w:p>
        </w:tc>
        <w:tc>
          <w:tcPr>
            <w:tcW w:w="118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С2, С3</w:t>
            </w:r>
          </w:p>
        </w:tc>
        <w:tc>
          <w:tcPr>
            <w:tcW w:w="49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384"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w:t>
            </w:r>
          </w:p>
        </w:tc>
        <w:tc>
          <w:tcPr>
            <w:tcW w:w="469"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18</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1.Противопожарные расстояния от указанных зданий, сооружений до зданий, сооружений производственного и складского назначения следует принимать по таблице выше, если иное не предусмотрено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и другими нормативными документами, содержащими требования пожарной безопасности. При определении противопожарных расстояний до автозаправочных станций, опасных производственных объектов, объектов газоснабжения и нефтегазовой индустрии, энергообъектов и электроустановок, особо опасных и технически сложных объектов и т.д. следует также руководствоваться требованиями раздела 6, положениями 1, 2, </w:t>
      </w:r>
      <w:hyperlink r:id="rId55" w:anchor="7D20K3" w:history="1">
        <w:r w:rsidRPr="00DA5C72">
          <w:rPr>
            <w:rStyle w:val="a9"/>
            <w:rFonts w:ascii="Times New Roman" w:hAnsi="Times New Roman" w:cs="Times New Roman"/>
            <w:sz w:val="24"/>
            <w:szCs w:val="24"/>
          </w:rPr>
          <w:t>СП 155.13130</w:t>
        </w:r>
      </w:hyperlink>
      <w:r w:rsidRPr="00DA5C72">
        <w:rPr>
          <w:rFonts w:ascii="Times New Roman" w:hAnsi="Times New Roman" w:cs="Times New Roman"/>
          <w:sz w:val="24"/>
          <w:szCs w:val="24"/>
        </w:rPr>
        <w:t> и другими нормативными документами, содержащими требования пожарной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Пристраивание к жилым и общественным зданиям, сооружениям производственного, складского и инженерно-технического назначения (автостоянок, котельных, трансформаторных подстанций и т.п.) допускается в случаях, оговоренных нормативными требованиями. При этом противопожарные расстояния до соседних зданий и сооружений должны также соблюдаться и от указанных пристроек с учетом их пожарно-технической классификации.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между зданиями, сооружениями производственного и складского назначения (в том числе размещаемыми вне производственных территорий) должны приниматься по нормативам для территорий производственных объектов в соответствии с разделом 6 СП 4.13130.2013.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жилыми, общественными зданиями и сооружениями допускается уменьшать при условии подтверждения предотвращения распространения пожара в соответствии с приложением А СП 4.13130.2013. Указанное уменьшение должно проводиться с учетом требований к параметрам проездов и подъездов для пожарной техники. Для случаев, не подпадающих под область применения приложения А СП 4.13130.2013, уменьшение противопожарных расстояний допускается при разработке дополнительных противопожарных мероприятий с подтверждением предотвращения распространения пожара на основании результатов исследований, испытаний или расчетов по апробированным методикам.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2. Противопожарное расстояние между зданиями, сооружениями определяется как наименьшее расстояние в свету между наружными стенами или другими ограждающими конструкциями. При наличии конструктивных элементов из горючих материалов, выступающих за пределы указанных конструкций более чем на 1 м, расстояние следует принимать от указанных элементов.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3. Противопожарные расстояния от глухих (без оконных проемов) стен жилых и общественных зданий, сооружений I-IV степеней огнестойкости, класса конструктивной пожарной опасности С0 и С1, с наружной отделкой, облицовкой (при наличии) из материалов с показателями пожарной опасности не ниже Г1 и наружным </w:t>
      </w:r>
      <w:r w:rsidRPr="00DA5C72">
        <w:rPr>
          <w:rFonts w:ascii="Times New Roman" w:hAnsi="Times New Roman" w:cs="Times New Roman"/>
          <w:sz w:val="24"/>
          <w:szCs w:val="24"/>
        </w:rPr>
        <w:lastRenderedPageBreak/>
        <w:t>(водоизоляционным) слоем кровли из материалов не ниже Г1 или РП1 до других зданий, сооружений допускается уменьшать на 20% по отношению к значениям, указанным в таблице 1 СП 4.13130.2013.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 Противопожарные расстояния между зданиями, сооружениями I и II степеней огнестойкости класса конструктивной пожарной опасности С0 допускается уменьшать на 50% при оборудовании каждого из зданий и сооружений автоматическими установками пожаротушения.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5. В районах с сейсмичностью 9 и выше баллов противопожарные расстояния между жилыми зданиями, а также между жилыми и общественными зданиями IV степени огнестойкости класса конструктивной пожарной опасности C2, C3 и V степени огнестойкости следует увеличивать на 20%.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 Противопожарные расстояния от зданий и сооружений до объектов защиты IV степени огнестойкости класса конструктивной пожарной опасности C2, C3 и V степени огнестойкости в климатических подрайонах IБ, IГ, IIА и IIБ, на береговой полосе Берингова пролива, Берингова и Охотского морей, Татарского пролива, на полуострове Камчатка, на острове Сахалин, на Курильских и Командорских островах шириной 100 км или до ближайшего горного хребта следует увеличивать на 25%.</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7. Противопожарные расстояния между жилыми зданиями IV степени огнестойкости класса конструктивной пожарной опасности C2, C3 и V степени огнестойкости в климатических подрайонах IA, IБ, IГ, IД и IIА следует увеличивать на 50%.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8. Для двухэтажных зданий, сооружений каркасно-щитовой конструкции V степени огнестойкости противопожарные расстояния следует увеличивать на 20%.</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9. Противопожарные расстояния между жилыми, общественными зданиями и сооружениями не нормируются, если более высокая и широкая стена здания, сооружения (или специально возведенная отдельно стоящая стена), обращенная к соседнему объекту защиты, либо обе стены, обращенные друг к другу, отвечают требованиям </w:t>
      </w:r>
      <w:hyperlink r:id="rId56"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для противопожарных стен 1-го типа.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10. Противопожарные разрывы между общественными зданиями, сооружениями допускается не предусматривать (при условии обеспечения требуемых проездов и подъездов для пожарной техники), если суммарная площадь застройки указанных объектов, включая незастроенную площадь между ними, не превышает допустимой площади этажа в пределах пожарного отсека, принимаемой в соответствии с </w:t>
      </w:r>
      <w:hyperlink r:id="rId57"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по общественному зданию с минимальным значением допустимой площади и наихудшими значениями степени огнестойкости и класса конструктивной пожарной 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Требования настоящего пункта не распространяются на объекты классов функциональной пожарной опасности Ф.1.1 и Ф4.1, а также специализированные объекты торговли по продаже горючих газов (ГГ), легковоспламеняющихся и горючих жидкостей (ЛВЖ, ГЖ), а также веществ и материалов, способных взрываться и воспламеняться при взаимодействии с водой, кислородом воздуха или друг с другом.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11. Противопожарные расстояния (разрывы) между жилыми, садовыми домами (далее - домами), между домами и хозяйственными постройками в пределах одного земельного участка для индивидуального жилищного строительства, ведения личного подсобного хозяйства, а также приусадебного или садового земельного участка не нормируются (не устанавливаются). </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Примечание. Бани, летние кухни, гаражи, мастерские и другие постройки с повышенной пожарной опасностью рекомендуется размещать от дома на противопожарных расстояниях или напротив глухих (без проемов) негорючих наружных стен.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от хозяйственных построек на одном земельном участке до домов на соседних земельных участках, а также между домами соседних участков следует принимать в соответствии с таблицей 1 и с учетом требований подраздела 5.3 СП 4.13130.2013 при организованной малоэтажной застройке. Противопожарные </w:t>
      </w:r>
      <w:r w:rsidRPr="00DA5C72">
        <w:rPr>
          <w:rFonts w:ascii="Times New Roman" w:hAnsi="Times New Roman" w:cs="Times New Roman"/>
          <w:sz w:val="24"/>
          <w:szCs w:val="24"/>
        </w:rPr>
        <w:lastRenderedPageBreak/>
        <w:t>расстояния между хозяйственными постройками на соседних участках не нормируются. Расстояния от домов и построек на участках до зданий и сооружений на территориях общего назначения должны приниматься в соответствии с таблицей 1 СП 4.13130.2013.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дома или хозяйственной постройки с неопределенной степенью огнестойкости и классом конструктивной пожарной опасности противопожарные расстояния следует определять по таблице 1 как для здания V степени огнестойкости. Для дома или постройки с наружным (водоизоляционным) слоем кровли, карнизами и наружными поверхностями стен (или их обшивкой) из материалов НГ или Г1 противопожарные расстояния допускается определять как для здания IV степени огнестойкости, класса конструктивной пожарной опасности С1. Для домов, хозяйственных построек (гаражей, сараев и бань) с наружными стенами из негорючих материалов (камень, бетон, железобетон и т.п.) с отделкой, облицовкой (при наличии), а также карнизами и водоизоляционным слоем кровли из негорючих материалов или материалов группы горючести Г1 противопожарные расстояния допускается принимать как для зданий III степени огнестойкости, класса конструктивной пожарной опасности C0. При этом расстояние от глухих стен таких домов или хозяйственных построек (гаражей, сараев и бань) до домов (любых конструктивных решений) на соседних участках допускается сокращать до 6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домами, домами и хозяйственными постройками на соседних участках не нормируются при применении противопожарных стен в соответствии с пунктом 4.11 СП 4.13130.2013.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Возведение домов, хозяйственных построек на смежных земельных участках допускается без противопожарных разрывов по взаимному согласию собственников (домовладельцев). При блокировании жилых домов соседних участков следует учитывать требования, предъявляемые к устройству противопожарных преград между жилыми блоками зданий класса Ф1.4.</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На садовых земельных участках малых размеров, в случаях группирования (блокирования) без противопожарных разрывов садовых домов на двух соседних участках при однорядной застройке и на четырех соседних участках при двухрядной застройке, противопожарные расстояния по таблице 1 СП 4.13130.2013 следует соблюдать между крайними домами соседних групп (блоков).</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домов, хозяйственных построек, размещенных без противопожарных разрывов, суммарная площадь застройки, включая незастроенную площадь между ними, не должна превышать значения допустимой площади этажа в пределах пожарного отсека жилого здания по </w:t>
      </w:r>
      <w:hyperlink r:id="rId58" w:anchor="7D20K3" w:history="1">
        <w:r w:rsidRPr="00DA5C72">
          <w:rPr>
            <w:rStyle w:val="a9"/>
            <w:rFonts w:ascii="Times New Roman" w:hAnsi="Times New Roman" w:cs="Times New Roman"/>
            <w:sz w:val="24"/>
            <w:szCs w:val="24"/>
          </w:rPr>
          <w:t>СП 2.13130</w:t>
        </w:r>
      </w:hyperlink>
      <w:r w:rsidRPr="00DA5C72">
        <w:rPr>
          <w:rFonts w:ascii="Times New Roman" w:hAnsi="Times New Roman" w:cs="Times New Roman"/>
          <w:sz w:val="24"/>
          <w:szCs w:val="24"/>
        </w:rPr>
        <w:t>, исходя из наихудших значений степени огнестойкости и класса конструктивной пожарной опасности дома или постройки.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12. Противопожарные расстояния от зданий, сооружений на территориях городских населенных пунктов до границ лесных насаждений в лесах хвойных или смешанных пород должны составлять не менее 50 м, лиственных пород - не менее 30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Примечание. Указанные расстояния определяются как наименьшее расстояние от наружных конструкций зданий, сооружений до границы лесного массива. Границы лесных насаждений на землях различных категорий устанавливаются органами государственной власти Российской Федерации в соответствии с действующим законодательством.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от зданий и сооружений I-IV степеней огнестойкости, класса конструктивной пожарной опасности С0 и С1 до лесных насаждений хвойных (смешанных) пород допускается уменьшать до 30 м, при условии, что наружные поверхности обращенных к лесу стен, в том числе отделка, облицовка (при наличии) выполнены из материалов группы горючести не ниже Г1. В качестве наружного (водоизоляционного) слоя кровли в пределах 50 м от леса должны применяться материалы не ниже Г1 или РП1.</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до границ лесных насаждений от зданий, сооружений городских населенных пунктов в зонах индивидуальной и малоэтажной жилой </w:t>
      </w:r>
      <w:r w:rsidRPr="00DA5C72">
        <w:rPr>
          <w:rFonts w:ascii="Times New Roman" w:hAnsi="Times New Roman" w:cs="Times New Roman"/>
          <w:sz w:val="24"/>
          <w:szCs w:val="24"/>
        </w:rPr>
        <w:lastRenderedPageBreak/>
        <w:t>застройки, от зданий и сооружений сельских населенных пунктов, а также от жилых домов на приусадебных или садовых земельных участках должны составлять не менее 30 м. Указанные расстояния допускается уменьшать до 15 м, если примыкающая к лесу застройка (в пределах 30 м) выполнена с наружными стенами, включая отделку, облицовку (при наличии), а также кровлей из материалов группы горючести не ниже Г1 или распространению пламени РП1. Расстояния до границ лесных насаждений от садовых домов и хозяйственных построек (гаражей, сараев и бань)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определении противопожарных расстояний до лесных насаждений от объектов производственного назначения, автозаправочных станций, энергообъектов и объектов нефтегазовой индустрии, объектов транспортной инфраструктуры и линейных объектов, особо опасных, технически сложных объектов, а также объектов, размещаемых в лесах, следует руководствоваться требованиями раздела 6, 1, 2  </w:t>
      </w:r>
      <w:hyperlink r:id="rId59" w:anchor="7D20K3" w:history="1">
        <w:r w:rsidRPr="00DA5C72">
          <w:rPr>
            <w:rStyle w:val="a9"/>
            <w:rFonts w:ascii="Times New Roman" w:hAnsi="Times New Roman" w:cs="Times New Roman"/>
            <w:sz w:val="24"/>
            <w:szCs w:val="24"/>
          </w:rPr>
          <w:t>СП 155.13130</w:t>
        </w:r>
      </w:hyperlink>
      <w:r w:rsidRPr="00DA5C72">
        <w:rPr>
          <w:rFonts w:ascii="Times New Roman" w:hAnsi="Times New Roman" w:cs="Times New Roman"/>
          <w:sz w:val="24"/>
          <w:szCs w:val="24"/>
        </w:rPr>
        <w:t> и других нормативных документов, содержащих требования пожарной безопасности.</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до лесных насаждений от некапитальных, временных сооружений (построек)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Сокращение противопожарных расстояний допускается при условии разработки дополнительных противопожарных мероприятий, обеспечивающих ограничение распространения пожара.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устройстве противопожарных расстояний до границ лесных насаждений от зданий, сооружений населенных пунктов с различными видами застройки или при объединении границ городских и сельских населенных пунктов, а также в других случаях смешанного использования территорий следует руководствоваться видом застройки, непосредственно примыкающей к лесу.</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от зданий, сооружений до лесных и других древесно-кустарниковых насаждений на землях населенных пунктов (городских лесов, парков, скверов, аллей, садов и т.п.) не нормируются.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13. Противопожарные расстояния от жилых и общественных зданий, сооружений до некапитальных сооружений (построек) следует принимать в зависимости от их степени огнестойкости и класса функциональной пожарной опасности по таблице 1. Расстояния до указанных сооружений (построек) с неопределенными пожарно-техническими характеристиками принимаются как до зданий V степени огнестойкости. Расстояния до временных строений (мобильные сборно/разборные сооружения, ангары и постройки для осуществления строительства, реконструкции или ремонта и т.п.)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Расстояния от жилых и общественных зданий, сооружений до некапитальных, временных сооружений (построек) не нормируется при применении противопожарных стен в соответствии с пунктом 4.11 СП 4.131300.2013.</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между указанными некапитальными, временными сооружениями (постройками) не нормируются, если их суммарная площадь застройки (размещения) не превышает 800 м. Противопожарные расстояния от такой группы до других подобных сооружений (построек) или групп должны составлять не менее 15 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размещении некапитальных, временных сооружений (построек) и площадок должно соблюдаться, в том числе условие обеспечения требуемых проездов и подъездов для пожарной техники к объектам защиты.</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Противопожарные расстояния от жилых и общественных зданий, сооружений до открытых площадок для стоянки автомобилей с допустимой максимальной массой менее 3,5 т не нормируются. Противопожарные расстояния от границ организованных открытых площадок для стоянки автомобилей с допустимой максимальной массой свыше 3,5 т до зданий, сооружений I-IV степеней огнестойкости классов конструктивной пожарной опасности C0 должны приниматься не менее 10 м. Расстояния со стороны стен без проемов не нормируются. Расстояния до зданий, сооружений других степеней </w:t>
      </w:r>
      <w:r w:rsidRPr="00DA5C72">
        <w:rPr>
          <w:rFonts w:ascii="Times New Roman" w:hAnsi="Times New Roman" w:cs="Times New Roman"/>
          <w:sz w:val="24"/>
          <w:szCs w:val="24"/>
        </w:rPr>
        <w:lastRenderedPageBreak/>
        <w:t>огнестойкости и классов конструктивной пожарной опасности должны составлять не менее 15 м. Расстояния до зданий, сооружений со стороны противопожарных стен 1-го и 2-го типов не нормируются.</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Противопожарные расстояния от открытых площадок для стоянки автомобилей до производственных и складских зданий должны приниматься по нормативам для территорий производственных объектов в соответствии с разделом 6.1 СП 4.13130.2013.</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397DA9">
      <w:pPr>
        <w:spacing w:after="0" w:line="240" w:lineRule="auto"/>
        <w:jc w:val="center"/>
        <w:rPr>
          <w:rFonts w:ascii="Times New Roman" w:hAnsi="Times New Roman" w:cs="Times New Roman"/>
          <w:b/>
          <w:bCs/>
          <w:sz w:val="24"/>
          <w:szCs w:val="24"/>
        </w:rPr>
      </w:pPr>
      <w:bookmarkStart w:id="162" w:name="_Toc158710089"/>
      <w:bookmarkStart w:id="163" w:name="_Toc1650"/>
      <w:bookmarkStart w:id="164" w:name="_Toc216434312"/>
      <w:r w:rsidRPr="00DA5C72">
        <w:rPr>
          <w:rFonts w:ascii="Times New Roman" w:hAnsi="Times New Roman" w:cs="Times New Roman"/>
          <w:b/>
          <w:bCs/>
          <w:sz w:val="24"/>
          <w:szCs w:val="24"/>
        </w:rPr>
        <w:t>7.</w:t>
      </w:r>
      <w:r w:rsidRPr="00DA5C72">
        <w:rPr>
          <w:rFonts w:ascii="Times New Roman" w:hAnsi="Times New Roman" w:cs="Times New Roman"/>
          <w:b/>
          <w:bCs/>
          <w:sz w:val="24"/>
          <w:szCs w:val="24"/>
        </w:rPr>
        <w:tab/>
        <w:t>МЕРОПРИЯТИЯ ПО УСТАНОВЛЕНИЮ ИЛИ ИЗМЕНЕНИЮ ГРАНИЦ НАСЕЛЕННЫХ ПУНКТОВ, ВХОДЯЩИХ В СОСТАВ СЕЛЬСКОГО ПОСЕЛЕНИЯ «</w:t>
      </w:r>
      <w:bookmarkEnd w:id="162"/>
      <w:r w:rsidRPr="00DA5C72">
        <w:rPr>
          <w:rFonts w:ascii="Times New Roman" w:hAnsi="Times New Roman" w:cs="Times New Roman"/>
          <w:b/>
          <w:bCs/>
          <w:sz w:val="24"/>
          <w:szCs w:val="24"/>
        </w:rPr>
        <w:t>НОВОРЖЕВСКАЯ ВОЛОСТЬ»</w:t>
      </w:r>
      <w:bookmarkEnd w:id="163"/>
      <w:bookmarkEnd w:id="164"/>
    </w:p>
    <w:p w:rsidR="00DA5C72" w:rsidRPr="00DA5C72" w:rsidRDefault="00DA5C72" w:rsidP="00DA5C72">
      <w:pPr>
        <w:spacing w:after="0" w:line="240" w:lineRule="auto"/>
        <w:jc w:val="both"/>
        <w:rPr>
          <w:rFonts w:ascii="Times New Roman" w:hAnsi="Times New Roman" w:cs="Times New Roman"/>
          <w:b/>
          <w:bCs/>
          <w:sz w:val="24"/>
          <w:szCs w:val="24"/>
        </w:rPr>
      </w:pPr>
    </w:p>
    <w:p w:rsidR="00DA5C72" w:rsidRPr="00DA5C72" w:rsidRDefault="00DA5C72" w:rsidP="00397DA9">
      <w:pPr>
        <w:spacing w:after="0" w:line="240" w:lineRule="auto"/>
        <w:jc w:val="center"/>
        <w:rPr>
          <w:rFonts w:ascii="Times New Roman" w:hAnsi="Times New Roman" w:cs="Times New Roman"/>
          <w:b/>
          <w:bCs/>
          <w:iCs/>
          <w:sz w:val="24"/>
          <w:szCs w:val="24"/>
        </w:rPr>
      </w:pPr>
      <w:bookmarkStart w:id="165" w:name="_Toc114499820"/>
      <w:bookmarkStart w:id="166" w:name="_Toc158710090"/>
      <w:bookmarkStart w:id="167" w:name="_Toc15303"/>
      <w:bookmarkStart w:id="168" w:name="_Toc216434313"/>
      <w:r w:rsidRPr="00DA5C72">
        <w:rPr>
          <w:rFonts w:ascii="Times New Roman" w:hAnsi="Times New Roman" w:cs="Times New Roman"/>
          <w:b/>
          <w:bCs/>
          <w:iCs/>
          <w:sz w:val="24"/>
          <w:szCs w:val="24"/>
        </w:rPr>
        <w:t>7.1 Установление или изменение границ населенных пунктов</w:t>
      </w:r>
      <w:bookmarkEnd w:id="165"/>
      <w:bookmarkEnd w:id="166"/>
      <w:bookmarkEnd w:id="167"/>
      <w:bookmarkEnd w:id="168"/>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связи с решением Собрания депутатов сельского поселения «Новоржевская волость» в 2012 году «Об отсутствии необходимости подготовки генерального плана сельского поселения «Новоржевская волость», Схемой Территориального планирования Новоржевского района планируется установление границ населенных пунктов, входящих в состав сельского поселения «Новоржевская волость».</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В состав муниципального образования "Новоржевская волость" входят деревни в количестве 171 (сто семьдесят один):</w:t>
      </w:r>
      <w:hyperlink r:id="rId60" w:tooltip="Агафоново (Новоржевский район)" w:history="1">
        <w:r w:rsidRPr="00DA5C72">
          <w:rPr>
            <w:rStyle w:val="a9"/>
            <w:rFonts w:ascii="Times New Roman" w:hAnsi="Times New Roman" w:cs="Times New Roman"/>
            <w:sz w:val="24"/>
            <w:szCs w:val="24"/>
          </w:rPr>
          <w:t xml:space="preserve"> Агафоново</w:t>
        </w:r>
      </w:hyperlink>
      <w:r w:rsidRPr="00DA5C72">
        <w:rPr>
          <w:rFonts w:ascii="Times New Roman" w:hAnsi="Times New Roman" w:cs="Times New Roman"/>
          <w:sz w:val="24"/>
          <w:szCs w:val="24"/>
        </w:rPr>
        <w:t>, Антипово, Апросово, Барута, Батово, Белогубово, Бибирево, Борки, Боровичи, Бородино, Брянцево, Бышово, Васюгино, Васюгино, Вешалиха, Власково, Высокое, Гнилки, Голубево,</w:t>
      </w:r>
      <w:r w:rsidRPr="00DA5C72">
        <w:rPr>
          <w:rFonts w:ascii="Times New Roman" w:hAnsi="Times New Roman" w:cs="Times New Roman"/>
          <w:sz w:val="24"/>
          <w:szCs w:val="24"/>
        </w:rPr>
        <w:tab/>
        <w:t>Горка, Горькухино, Гривино, Гриньково, Грихново, Гришино, Гришино-1, Гришино-2, Гром, Груздовицы, Гускино,</w:t>
      </w:r>
      <w:r w:rsidRPr="00DA5C72">
        <w:rPr>
          <w:rFonts w:ascii="Times New Roman" w:hAnsi="Times New Roman" w:cs="Times New Roman"/>
          <w:sz w:val="24"/>
          <w:szCs w:val="24"/>
        </w:rPr>
        <w:tab/>
        <w:t>Давыдково, Девкино, Добруха, Долосец, Дубровы, Дятлово, Евдокимиха, Еремеево, Ероново, Ершово, Жадрицы, Жар, Жары, Жекупино, Жуковичи, Жуково, Заборье, Заборье, Завидовка, Залог, Запятково, Зарвино, Заход, Заход, Звягино, Иваньково, Игнатово, Извоз, Исаково, Каменец, Кашилиха, Кисляково, Климово, Козловка, Коковичино, Кораблёво, Корнилково, Коростовец, Коротыли, Косарово, Коськино, Косьяново, Кремье, Кузьмино, Ладино, Лаптево, Ласино</w:t>
      </w:r>
      <w:r w:rsidRPr="00DA5C72">
        <w:rPr>
          <w:rFonts w:ascii="Times New Roman" w:hAnsi="Times New Roman" w:cs="Times New Roman"/>
          <w:sz w:val="24"/>
          <w:szCs w:val="24"/>
        </w:rPr>
        <w:tab/>
        <w:t>,Лжун, Липовик, Лисичино, Лисово, Лобаново, Лопанево, Лунёвка, Макарихино, Макарово, Манушкино, Мартюшово, Маслиха, Махново, Машатино, Мелехово, Михалино, Михалкино, Михеево, Мишаково, Мишино, Мосеево, Мыльнёво, Наумково, Никитино, Новины, Осиновик, Павлиха, Петровское, Пищино, Плавно, Платавец, Подлипье, Подлужье, Подмежье, Полозово, Полозово, Поповка, Порядино, Потапово, Поташово, Пришвино, Пупово, Россолово, Ровное, Рогово, Рубачёво, Рудново, Рудняха, Руново, Савино, Самсониха, Санёво, Саньково, Себеж, Селецкое, Семенкино, Семилово, Сенная, Симаниха, Симоново, Слигино, Степанькино, Стехново, Стехово, Столбушино, Судеревье, Сухарево, Сухлово, Тайлово, Тарасово, Тарутино, Тархово, Тимошкино, Тихомор, Тишково, Трахачево, Трупехино, Федоново, Федотово, Фомино, Ханёво, Ханево, Харитоново, Харлапово, Хортово, Шаурино, Шестово, Шнитово, Щербово, Юдино, Юренцево, Юшково, Ячино.</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 xml:space="preserve">Сведения о 169 границах населенных пунктов внесены в ЕГРН. </w:t>
      </w: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
          <w:sz w:val="24"/>
          <w:szCs w:val="24"/>
        </w:rPr>
        <w:t xml:space="preserve">Таблица 82 – Сведения о границах населенных пунктов, стоящих на учете в ЕГРН  </w:t>
      </w:r>
    </w:p>
    <w:tbl>
      <w:tblPr>
        <w:tblStyle w:val="aa"/>
        <w:tblW w:w="0" w:type="auto"/>
        <w:tblLook w:val="04A0" w:firstRow="1" w:lastRow="0" w:firstColumn="1" w:lastColumn="0" w:noHBand="0" w:noVBand="1"/>
      </w:tblPr>
      <w:tblGrid>
        <w:gridCol w:w="706"/>
        <w:gridCol w:w="5335"/>
        <w:gridCol w:w="3020"/>
      </w:tblGrid>
      <w:tr w:rsidR="00DA5C72" w:rsidRPr="00DA5C72" w:rsidTr="00DA5C72">
        <w:trPr>
          <w:tblHeader/>
        </w:trPr>
        <w:tc>
          <w:tcPr>
            <w:tcW w:w="706" w:type="dxa"/>
          </w:tcPr>
          <w:p w:rsidR="00DA5C72" w:rsidRPr="00DA5C72" w:rsidRDefault="00DA5C72" w:rsidP="00DA5C72">
            <w:pPr>
              <w:jc w:val="both"/>
              <w:rPr>
                <w:rFonts w:ascii="Times New Roman" w:hAnsi="Times New Roman" w:cs="Times New Roman"/>
                <w:b/>
                <w:bCs/>
                <w:sz w:val="24"/>
                <w:szCs w:val="24"/>
              </w:rPr>
            </w:pPr>
            <w:bookmarkStart w:id="169" w:name="_Hlk212633387"/>
            <w:r w:rsidRPr="00DA5C72">
              <w:rPr>
                <w:rFonts w:ascii="Times New Roman" w:hAnsi="Times New Roman" w:cs="Times New Roman"/>
                <w:b/>
                <w:bCs/>
                <w:sz w:val="24"/>
                <w:szCs w:val="24"/>
              </w:rPr>
              <w:t>№ п/п</w:t>
            </w:r>
          </w:p>
        </w:tc>
        <w:tc>
          <w:tcPr>
            <w:tcW w:w="5335" w:type="dxa"/>
          </w:tcPr>
          <w:p w:rsidR="00DA5C72" w:rsidRPr="00DA5C72" w:rsidRDefault="00DA5C72" w:rsidP="00DA5C72">
            <w:pPr>
              <w:jc w:val="both"/>
              <w:rPr>
                <w:rFonts w:ascii="Times New Roman" w:hAnsi="Times New Roman" w:cs="Times New Roman"/>
                <w:b/>
                <w:bCs/>
                <w:sz w:val="24"/>
                <w:szCs w:val="24"/>
              </w:rPr>
            </w:pPr>
            <w:r w:rsidRPr="00DA5C72">
              <w:rPr>
                <w:rFonts w:ascii="Times New Roman" w:hAnsi="Times New Roman" w:cs="Times New Roman"/>
                <w:b/>
                <w:bCs/>
                <w:sz w:val="24"/>
                <w:szCs w:val="24"/>
              </w:rPr>
              <w:t>Наименование населенного пункта</w:t>
            </w:r>
          </w:p>
        </w:tc>
        <w:tc>
          <w:tcPr>
            <w:tcW w:w="3020" w:type="dxa"/>
          </w:tcPr>
          <w:p w:rsidR="00DA5C72" w:rsidRPr="00DA5C72" w:rsidRDefault="00DA5C72" w:rsidP="00DA5C72">
            <w:pPr>
              <w:jc w:val="both"/>
              <w:rPr>
                <w:rFonts w:ascii="Times New Roman" w:hAnsi="Times New Roman" w:cs="Times New Roman"/>
                <w:b/>
                <w:bCs/>
                <w:sz w:val="24"/>
                <w:szCs w:val="24"/>
              </w:rPr>
            </w:pPr>
            <w:r w:rsidRPr="00DA5C72">
              <w:rPr>
                <w:rFonts w:ascii="Times New Roman" w:hAnsi="Times New Roman" w:cs="Times New Roman"/>
                <w:b/>
                <w:bCs/>
                <w:sz w:val="24"/>
                <w:szCs w:val="24"/>
              </w:rPr>
              <w:t>Реестровый номер</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д. Агафоново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Антипово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Апросово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Барута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Батово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Белогубово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Бибирево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Борки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Боровичи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Бородино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60:10-4.296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Брянцево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w:t>
            </w:r>
          </w:p>
        </w:tc>
        <w:tc>
          <w:tcPr>
            <w:tcW w:w="5335" w:type="dxa"/>
          </w:tcPr>
          <w:p w:rsidR="00DA5C72" w:rsidRPr="00DA5C72" w:rsidRDefault="00DA5C72" w:rsidP="00DA5C72">
            <w:pPr>
              <w:jc w:val="both"/>
              <w:rPr>
                <w:rFonts w:ascii="Times New Roman" w:hAnsi="Times New Roman" w:cs="Times New Roman"/>
                <w:bCs/>
                <w:sz w:val="24"/>
                <w:szCs w:val="24"/>
              </w:rPr>
            </w:pPr>
            <w:bookmarkStart w:id="170" w:name="_Hlk212629051"/>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Бышово</w:t>
            </w:r>
            <w:bookmarkEnd w:id="170"/>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1" w:name="_Hlk212629089"/>
            <w:r w:rsidRPr="00DA5C72">
              <w:rPr>
                <w:rFonts w:ascii="Times New Roman" w:hAnsi="Times New Roman" w:cs="Times New Roman"/>
                <w:bCs/>
                <w:sz w:val="24"/>
                <w:szCs w:val="24"/>
              </w:rPr>
              <w:t>60:10-4.299</w:t>
            </w:r>
            <w:bookmarkEnd w:id="171"/>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Васюгино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Васюгино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Вешалиха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Власково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Высокое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60:10-4.326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Гнилки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Голубево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Горка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60:10-4.329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Горькухино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2" w:name="_Hlk212633346"/>
            <w:r w:rsidRPr="00DA5C72">
              <w:rPr>
                <w:rFonts w:ascii="Times New Roman" w:hAnsi="Times New Roman" w:cs="Times New Roman"/>
                <w:sz w:val="24"/>
                <w:szCs w:val="24"/>
              </w:rPr>
              <w:t>60:10-4.332</w:t>
            </w:r>
            <w:bookmarkEnd w:id="172"/>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Гришино-1</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Гришино-2</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Гром</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29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Груздовицы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Гускино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Давыдково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Девкино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Добруха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Долосец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Дубровы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Дятлово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60:10-4.279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Евдокимиха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Еремеево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39.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Ершово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Жадрицы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Жар</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60:10-4.354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Жары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Жекупино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60:10-4.356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Жуковичи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Жуково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Заборье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60:10-4.359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Заборье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49.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Завидовка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Залог</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Запятково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Зарвино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Заход</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Заход</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60:10-4.289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Звягино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Иваньково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60:10-4.298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57.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Извоз</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Исаково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60:00-4.117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59.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Каменец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Кашилиха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Кисляково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Климово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60:10-4.308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Козловка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60:10-4.309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Коковичино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Кораблёво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Корнилково</w:t>
            </w:r>
          </w:p>
        </w:tc>
        <w:tc>
          <w:tcPr>
            <w:tcW w:w="3020" w:type="dxa"/>
            <w:shd w:val="clear" w:color="auto" w:fill="auto"/>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60:10-4.312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67.</w:t>
            </w:r>
          </w:p>
        </w:tc>
        <w:tc>
          <w:tcPr>
            <w:tcW w:w="5335" w:type="dxa"/>
          </w:tcPr>
          <w:p w:rsidR="00DA5C72" w:rsidRPr="00DA5C72" w:rsidRDefault="00DA5C72" w:rsidP="00DA5C72">
            <w:pPr>
              <w:jc w:val="both"/>
              <w:rPr>
                <w:rFonts w:ascii="Times New Roman" w:hAnsi="Times New Roman" w:cs="Times New Roman"/>
                <w:bCs/>
                <w:sz w:val="24"/>
                <w:szCs w:val="24"/>
              </w:rPr>
            </w:pPr>
            <w:bookmarkStart w:id="173" w:name="_Hlk212629119"/>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Коростовец</w:t>
            </w:r>
            <w:bookmarkEnd w:id="173"/>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4" w:name="_Hlk212629138"/>
            <w:r w:rsidRPr="00DA5C72">
              <w:rPr>
                <w:rFonts w:ascii="Times New Roman" w:hAnsi="Times New Roman" w:cs="Times New Roman"/>
                <w:bCs/>
                <w:sz w:val="24"/>
                <w:szCs w:val="24"/>
              </w:rPr>
              <w:t>60:10-4.313</w:t>
            </w:r>
            <w:bookmarkEnd w:id="174"/>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Коротыли</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Косарово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Коськино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60:10-4.316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Косьяново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Кремье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Кузьмино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60:10-4.319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Лаптево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Ласино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Лжун</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Липовик</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79.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Лисичино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60:10-4.325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Лисово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Лобаново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60:10-4.336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Лопанево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Лунёвка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Макарихино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60:10-4.339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Макарово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Манушкино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60:10-4.341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Мартюшово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Маслиха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89.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Машатино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Мелехово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Михалино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Михалкино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Михеево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60:10-4.349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Мишаково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Мишино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Мосеево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Мыльнёво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99.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Наумково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Никитино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Новины</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60:10-4.369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Осиновик</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Павлиха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Петровское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105.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Пищино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Плавно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5" w:name="_Hlk212647822"/>
            <w:r w:rsidRPr="00DA5C72">
              <w:rPr>
                <w:rFonts w:ascii="Times New Roman" w:hAnsi="Times New Roman" w:cs="Times New Roman"/>
                <w:bCs/>
                <w:sz w:val="24"/>
                <w:szCs w:val="24"/>
              </w:rPr>
              <w:t>60:10-4.374</w:t>
            </w:r>
            <w:bookmarkEnd w:id="175"/>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Платавец</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Подлипье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109.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Подлужье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Подмежье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Полозово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Полозово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60:10-4.421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Поповка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60:10-4.410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Порядино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60:10-4.411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Потапово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Поташово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Пришвино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Россолово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119.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Ровное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Рогово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Рубачёво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Рудново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60:10-4.419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Рудняха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Руново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Савино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60:10-4.379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Самсониха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60:10-4.380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Саньково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129.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Себеж</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60:10-4.383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Селецкое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Семенкино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Семилово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Сенная</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Симаниха</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Симоново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60:10-4.389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Слигино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Степанькино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60:10-4.391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Стехново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139.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Стехово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bookmarkStart w:id="176" w:name="_Hlk212632840"/>
            <w:r w:rsidRPr="00DA5C72">
              <w:rPr>
                <w:rFonts w:ascii="Times New Roman" w:hAnsi="Times New Roman" w:cs="Times New Roman"/>
                <w:bCs/>
                <w:sz w:val="24"/>
                <w:szCs w:val="24"/>
              </w:rPr>
              <w:t>60:10-4.393</w:t>
            </w:r>
            <w:bookmarkEnd w:id="176"/>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Столбушино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Судеревье</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Сухарево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Сухлово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60:10-4.397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Тайлово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Тарасово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60:10-4.399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Тарутино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60:10-4.400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Тархово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Тимошкино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149.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Тихомор</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Тишково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Трахачево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Трупехино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lastRenderedPageBreak/>
              <w:t>153.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Федоново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60:10-4.407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Федотово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Фомино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Ханёво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Ханево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Харитоново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60:10-4.426</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159.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Харлапово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60:10-4.427</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160.</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Хортово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161.</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Шаурино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60:10-4.429</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162.</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Шестово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60:10-4.430</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163.</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д. Шилово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60:10-4.431</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164.</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Шнитово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60:10-4.432</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165.</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Щербово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60:10-4.433</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166.</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Юдино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60:10-4.434</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167.</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Юренцево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sz w:val="24"/>
                <w:szCs w:val="24"/>
              </w:rPr>
              <w:t>60:00-4.118</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168.</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Юшково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60:10-4.435</w:t>
            </w:r>
          </w:p>
        </w:tc>
      </w:tr>
      <w:tr w:rsidR="00DA5C72" w:rsidRPr="00DA5C72" w:rsidTr="00DA5C72">
        <w:tc>
          <w:tcPr>
            <w:tcW w:w="706"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169</w:t>
            </w:r>
          </w:p>
        </w:tc>
        <w:tc>
          <w:tcPr>
            <w:tcW w:w="5335" w:type="dxa"/>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 xml:space="preserve">д. </w:t>
            </w:r>
            <w:r w:rsidRPr="00DA5C72">
              <w:rPr>
                <w:rFonts w:ascii="Times New Roman" w:hAnsi="Times New Roman" w:cs="Times New Roman"/>
                <w:sz w:val="24"/>
                <w:szCs w:val="24"/>
              </w:rPr>
              <w:t>Ячино</w:t>
            </w:r>
          </w:p>
        </w:tc>
        <w:tc>
          <w:tcPr>
            <w:tcW w:w="3020" w:type="dxa"/>
            <w:shd w:val="clear" w:color="auto" w:fill="auto"/>
          </w:tcPr>
          <w:p w:rsidR="00DA5C72" w:rsidRPr="00DA5C72" w:rsidRDefault="00DA5C72" w:rsidP="00DA5C72">
            <w:pPr>
              <w:jc w:val="both"/>
              <w:rPr>
                <w:rFonts w:ascii="Times New Roman" w:hAnsi="Times New Roman" w:cs="Times New Roman"/>
                <w:bCs/>
                <w:sz w:val="24"/>
                <w:szCs w:val="24"/>
              </w:rPr>
            </w:pPr>
            <w:r w:rsidRPr="00DA5C72">
              <w:rPr>
                <w:rFonts w:ascii="Times New Roman" w:hAnsi="Times New Roman" w:cs="Times New Roman"/>
                <w:bCs/>
                <w:sz w:val="24"/>
                <w:szCs w:val="24"/>
              </w:rPr>
              <w:t>60:10-4.436</w:t>
            </w:r>
          </w:p>
        </w:tc>
      </w:tr>
      <w:bookmarkEnd w:id="169"/>
    </w:tbl>
    <w:p w:rsidR="00DA5C72" w:rsidRPr="00DA5C72" w:rsidRDefault="00DA5C72" w:rsidP="00DA5C72">
      <w:pPr>
        <w:spacing w:after="0" w:line="240" w:lineRule="auto"/>
        <w:jc w:val="both"/>
        <w:rPr>
          <w:rFonts w:ascii="Times New Roman" w:hAnsi="Times New Roman" w:cs="Times New Roman"/>
          <w:bCs/>
          <w:sz w:val="24"/>
          <w:szCs w:val="24"/>
        </w:rPr>
      </w:pPr>
    </w:p>
    <w:p w:rsidR="00DA5C72" w:rsidRPr="00DA5C72" w:rsidRDefault="00DA5C72" w:rsidP="00DA5C72">
      <w:pPr>
        <w:spacing w:after="0" w:line="240" w:lineRule="auto"/>
        <w:jc w:val="both"/>
        <w:rPr>
          <w:rFonts w:ascii="Times New Roman" w:hAnsi="Times New Roman" w:cs="Times New Roman"/>
          <w:bCs/>
          <w:sz w:val="24"/>
          <w:szCs w:val="24"/>
        </w:rPr>
      </w:pPr>
      <w:r w:rsidRPr="00DA5C72">
        <w:rPr>
          <w:rFonts w:ascii="Times New Roman" w:hAnsi="Times New Roman" w:cs="Times New Roman"/>
          <w:bCs/>
          <w:sz w:val="24"/>
          <w:szCs w:val="24"/>
        </w:rPr>
        <w:t xml:space="preserve">Сведения о границах д. Пупово, д. </w:t>
      </w:r>
      <w:r w:rsidRPr="00DA5C72">
        <w:rPr>
          <w:rFonts w:ascii="Times New Roman" w:hAnsi="Times New Roman" w:cs="Times New Roman"/>
          <w:sz w:val="24"/>
          <w:szCs w:val="24"/>
        </w:rPr>
        <w:t>Игнатово</w:t>
      </w:r>
      <w:r w:rsidRPr="00DA5C72">
        <w:rPr>
          <w:rFonts w:ascii="Times New Roman" w:hAnsi="Times New Roman" w:cs="Times New Roman"/>
          <w:bCs/>
          <w:sz w:val="24"/>
          <w:szCs w:val="24"/>
        </w:rPr>
        <w:t xml:space="preserve"> не внесены в ЕГРН. Таким образом, проектом </w:t>
      </w:r>
      <w:r w:rsidRPr="00DA5C72">
        <w:rPr>
          <w:rFonts w:ascii="Times New Roman" w:hAnsi="Times New Roman" w:cs="Times New Roman"/>
          <w:sz w:val="24"/>
          <w:szCs w:val="24"/>
        </w:rPr>
        <w:t xml:space="preserve">схемы территориального планирования предлагается установление границ населенных пунктов </w:t>
      </w:r>
      <w:r w:rsidRPr="00DA5C72">
        <w:rPr>
          <w:rFonts w:ascii="Times New Roman" w:hAnsi="Times New Roman" w:cs="Times New Roman"/>
          <w:bCs/>
          <w:sz w:val="24"/>
          <w:szCs w:val="24"/>
        </w:rPr>
        <w:t xml:space="preserve">д. Пупово, д. </w:t>
      </w:r>
      <w:r w:rsidRPr="00DA5C72">
        <w:rPr>
          <w:rFonts w:ascii="Times New Roman" w:hAnsi="Times New Roman" w:cs="Times New Roman"/>
          <w:sz w:val="24"/>
          <w:szCs w:val="24"/>
        </w:rPr>
        <w:t>Игнатово.</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Границы населенных пунктов запроектированы с учетом требований пункта 6 статьи 11.9 Земельного кодекса Российской Федерации, в соответствии с которым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Обоснование уточнения границ населенных пунктов с целью максимального исключения лесных участков из земель населенных пунктов и приведения их конфигурации к установленным и поставленным ранее на государственный кадастровый учет земельным участкам</w:t>
      </w:r>
    </w:p>
    <w:p w:rsid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При разработке проекта схемы территориального планирования были выявлены пересечения границы Бежаницкого лесничества Псковской области (реестровый номер границы – 60:10-15.1) с границами населенных пунктов, стоящими на учете в ЕГРН. В целях устранения данных пересечений, проектом схемы территориального планирования предлагается корректировка границ населенных пунктов: д. Еремеево, д. Долосец, д. Маслиха, д. Саньково, д. Батово, д. Трупехино.</w:t>
      </w:r>
    </w:p>
    <w:p w:rsidR="00397DA9" w:rsidRPr="00DA5C72" w:rsidRDefault="00397DA9"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83 – Изменение площади населенных пунктов Новоржевского района</w:t>
      </w:r>
    </w:p>
    <w:tbl>
      <w:tblPr>
        <w:tblStyle w:val="aa"/>
        <w:tblW w:w="0" w:type="auto"/>
        <w:tblLook w:val="04A0" w:firstRow="1" w:lastRow="0" w:firstColumn="1" w:lastColumn="0" w:noHBand="0" w:noVBand="1"/>
      </w:tblPr>
      <w:tblGrid>
        <w:gridCol w:w="3020"/>
        <w:gridCol w:w="3020"/>
        <w:gridCol w:w="3021"/>
      </w:tblGrid>
      <w:tr w:rsidR="00DA5C72" w:rsidRPr="00DA5C72" w:rsidTr="00DA5C72">
        <w:trPr>
          <w:tblHeader/>
        </w:trPr>
        <w:tc>
          <w:tcPr>
            <w:tcW w:w="3020"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Населенный пункт</w:t>
            </w:r>
          </w:p>
        </w:tc>
        <w:tc>
          <w:tcPr>
            <w:tcW w:w="3020"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Существующая площадь населенного пункта, га.</w:t>
            </w:r>
          </w:p>
        </w:tc>
        <w:tc>
          <w:tcPr>
            <w:tcW w:w="3021" w:type="dxa"/>
          </w:tcPr>
          <w:p w:rsidR="00DA5C72" w:rsidRPr="00DA5C72" w:rsidRDefault="00DA5C72" w:rsidP="00DA5C72">
            <w:pPr>
              <w:jc w:val="both"/>
              <w:rPr>
                <w:rFonts w:ascii="Times New Roman" w:hAnsi="Times New Roman" w:cs="Times New Roman"/>
                <w:b/>
                <w:sz w:val="24"/>
                <w:szCs w:val="24"/>
              </w:rPr>
            </w:pPr>
            <w:r w:rsidRPr="00DA5C72">
              <w:rPr>
                <w:rFonts w:ascii="Times New Roman" w:hAnsi="Times New Roman" w:cs="Times New Roman"/>
                <w:b/>
                <w:sz w:val="24"/>
                <w:szCs w:val="24"/>
              </w:rPr>
              <w:t>Планируемая площадь населенного пункта, га.</w:t>
            </w:r>
          </w:p>
        </w:tc>
      </w:tr>
      <w:tr w:rsidR="00DA5C72" w:rsidRPr="00DA5C72" w:rsidTr="00DA5C72">
        <w:tc>
          <w:tcPr>
            <w:tcW w:w="9061" w:type="dxa"/>
            <w:gridSpan w:val="3"/>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 xml:space="preserve">Устранение пересечений границ населенных пунктов с границей лесничества </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Еремеево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8,83</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Долосец</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21,04</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21</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Маслиха</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8,96</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8,95</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Саньково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4,49</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4,14</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Батово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5,68</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Трупехино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14,2</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14,16</w:t>
            </w:r>
          </w:p>
        </w:tc>
      </w:tr>
      <w:tr w:rsidR="00DA5C72" w:rsidRPr="00DA5C72" w:rsidTr="00DA5C72">
        <w:tc>
          <w:tcPr>
            <w:tcW w:w="9061" w:type="dxa"/>
            <w:gridSpan w:val="3"/>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Корректировка границ населенных пунктов в соответствии со сведениями ЕГРН</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д. Плавно</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46,95</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47,1</w:t>
            </w:r>
          </w:p>
        </w:tc>
      </w:tr>
      <w:tr w:rsidR="00DA5C72" w:rsidRPr="00DA5C72" w:rsidTr="00DA5C72">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lastRenderedPageBreak/>
              <w:t>д. Барута</w:t>
            </w:r>
          </w:p>
        </w:tc>
        <w:tc>
          <w:tcPr>
            <w:tcW w:w="3020"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128,87</w:t>
            </w:r>
          </w:p>
        </w:tc>
        <w:tc>
          <w:tcPr>
            <w:tcW w:w="3021" w:type="dxa"/>
          </w:tcPr>
          <w:p w:rsidR="00DA5C72" w:rsidRPr="00DA5C72" w:rsidRDefault="00DA5C72" w:rsidP="00DA5C72">
            <w:pPr>
              <w:jc w:val="both"/>
              <w:rPr>
                <w:rFonts w:ascii="Times New Roman" w:hAnsi="Times New Roman" w:cs="Times New Roman"/>
                <w:sz w:val="24"/>
                <w:szCs w:val="24"/>
              </w:rPr>
            </w:pPr>
            <w:r w:rsidRPr="00DA5C72">
              <w:rPr>
                <w:rFonts w:ascii="Times New Roman" w:hAnsi="Times New Roman" w:cs="Times New Roman"/>
                <w:sz w:val="24"/>
                <w:szCs w:val="24"/>
              </w:rPr>
              <w:t>129,29</w:t>
            </w:r>
          </w:p>
        </w:tc>
      </w:tr>
    </w:tbl>
    <w:p w:rsidR="00DA5C72" w:rsidRPr="00DA5C72" w:rsidRDefault="00DA5C72" w:rsidP="00DA5C72">
      <w:pPr>
        <w:spacing w:after="0" w:line="240" w:lineRule="auto"/>
        <w:jc w:val="both"/>
        <w:rPr>
          <w:rFonts w:ascii="Times New Roman" w:hAnsi="Times New Roman" w:cs="Times New Roman"/>
          <w:b/>
          <w:sz w:val="24"/>
          <w:szCs w:val="24"/>
        </w:rPr>
      </w:pPr>
    </w:p>
    <w:p w:rsidR="00DA5C72" w:rsidRPr="00DA5C72" w:rsidRDefault="00DA5C72" w:rsidP="00DA5C72">
      <w:pPr>
        <w:spacing w:after="0" w:line="240" w:lineRule="auto"/>
        <w:jc w:val="both"/>
        <w:rPr>
          <w:rFonts w:ascii="Times New Roman" w:hAnsi="Times New Roman" w:cs="Times New Roman"/>
          <w:b/>
          <w:bCs/>
          <w:iCs/>
          <w:sz w:val="24"/>
          <w:szCs w:val="24"/>
        </w:rPr>
      </w:pPr>
      <w:bookmarkStart w:id="177" w:name="_Toc158710091"/>
      <w:bookmarkStart w:id="178" w:name="_Toc29530"/>
      <w:bookmarkStart w:id="179" w:name="_Toc74000935"/>
      <w:bookmarkStart w:id="180" w:name="_Toc216434314"/>
      <w:r w:rsidRPr="00DA5C72">
        <w:rPr>
          <w:rFonts w:ascii="Times New Roman" w:hAnsi="Times New Roman" w:cs="Times New Roman"/>
          <w:b/>
          <w:bCs/>
          <w:sz w:val="24"/>
          <w:szCs w:val="24"/>
        </w:rPr>
        <w:t>7.2 Перечень земельных участков, включаемых в границы населенных пунктов с указанием категорий земель, к которым планируется отнести эти земельные участки, и целей их планируемого использования</w:t>
      </w:r>
      <w:bookmarkEnd w:id="177"/>
      <w:bookmarkEnd w:id="178"/>
      <w:bookmarkEnd w:id="179"/>
      <w:bookmarkEnd w:id="180"/>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Схемой Территориального планирования предусматривается включение в границы населенных пунктов земельных участков, стоящих на учете в ЕГРН.</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Схемой Территориального планирования планируется включение в границы д. Плавно земельного участка с кадастровым номером 60:10:0086101:145, категория земель «Земли населенных пунктов», разрешенное использование - Для садоводства.</w:t>
      </w: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Схемой Территориального планирования планируется включение в границы д. Барута земельного участка с кадастровым номером 60:10:0121702:103, категория земель «Земли населенных пунктов», разрешенное использование - Для ведения личного подсобного хозяйства.</w:t>
      </w:r>
    </w:p>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Таблица 84 - Перечень земельных участков, которые включаются в границы населенных пунктов, с указанием категорий земель, к которым планируется отнести эти земельные участки, и целей их планируемого использования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746"/>
        <w:gridCol w:w="1040"/>
        <w:gridCol w:w="1609"/>
        <w:gridCol w:w="1430"/>
        <w:gridCol w:w="1579"/>
        <w:gridCol w:w="1529"/>
      </w:tblGrid>
      <w:tr w:rsidR="00DA5C72" w:rsidRPr="00DA5C72" w:rsidTr="00DA5C72">
        <w:trPr>
          <w:tblHeader/>
        </w:trPr>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 п/п</w:t>
            </w:r>
          </w:p>
        </w:tc>
        <w:tc>
          <w:tcPr>
            <w:tcW w:w="979"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Кадастровый номер</w:t>
            </w:r>
          </w:p>
        </w:tc>
        <w:tc>
          <w:tcPr>
            <w:tcW w:w="488"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Площадь (м</w:t>
            </w:r>
            <w:r w:rsidRPr="00DA5C72">
              <w:rPr>
                <w:rFonts w:ascii="Times New Roman" w:hAnsi="Times New Roman" w:cs="Times New Roman"/>
                <w:b/>
                <w:sz w:val="24"/>
                <w:szCs w:val="24"/>
                <w:vertAlign w:val="superscript"/>
              </w:rPr>
              <w:t>2</w:t>
            </w:r>
            <w:r w:rsidRPr="00DA5C72">
              <w:rPr>
                <w:rFonts w:ascii="Times New Roman" w:hAnsi="Times New Roman" w:cs="Times New Roman"/>
                <w:b/>
                <w:sz w:val="24"/>
                <w:szCs w:val="24"/>
              </w:rPr>
              <w:t>)</w:t>
            </w:r>
          </w:p>
        </w:tc>
        <w:tc>
          <w:tcPr>
            <w:tcW w:w="880"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Существующая категория земель</w:t>
            </w:r>
          </w:p>
        </w:tc>
        <w:tc>
          <w:tcPr>
            <w:tcW w:w="688"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Планируемая категория земель</w:t>
            </w:r>
          </w:p>
        </w:tc>
        <w:tc>
          <w:tcPr>
            <w:tcW w:w="880"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Существующее разрешенное использование</w:t>
            </w:r>
          </w:p>
        </w:tc>
        <w:tc>
          <w:tcPr>
            <w:tcW w:w="879"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Планируемое разрешенное использование</w:t>
            </w:r>
          </w:p>
        </w:tc>
      </w:tr>
      <w:tr w:rsidR="00DA5C72" w:rsidRPr="00DA5C72" w:rsidTr="00DA5C72">
        <w:tc>
          <w:tcPr>
            <w:tcW w:w="5000" w:type="pct"/>
            <w:gridSpan w:val="7"/>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 xml:space="preserve">д. Плавно </w:t>
            </w:r>
          </w:p>
        </w:tc>
      </w:tr>
      <w:tr w:rsidR="00DA5C72" w:rsidRPr="00DA5C72" w:rsidTr="00DA5C72">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1</w:t>
            </w:r>
          </w:p>
        </w:tc>
        <w:tc>
          <w:tcPr>
            <w:tcW w:w="9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60:10:0086101:145</w:t>
            </w:r>
          </w:p>
        </w:tc>
        <w:tc>
          <w:tcPr>
            <w:tcW w:w="4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1500</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6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садоводства</w:t>
            </w:r>
          </w:p>
        </w:tc>
        <w:tc>
          <w:tcPr>
            <w:tcW w:w="8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садоводства</w:t>
            </w:r>
          </w:p>
        </w:tc>
      </w:tr>
      <w:tr w:rsidR="00DA5C72" w:rsidRPr="00DA5C72" w:rsidTr="00DA5C72">
        <w:tc>
          <w:tcPr>
            <w:tcW w:w="5000" w:type="pct"/>
            <w:gridSpan w:val="7"/>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 Барута</w:t>
            </w:r>
          </w:p>
        </w:tc>
      </w:tr>
      <w:tr w:rsidR="00DA5C72" w:rsidRPr="00DA5C72" w:rsidTr="00DA5C72">
        <w:tc>
          <w:tcPr>
            <w:tcW w:w="206" w:type="pct"/>
            <w:vAlign w:val="center"/>
          </w:tcPr>
          <w:p w:rsidR="00DA5C72" w:rsidRPr="00DA5C72" w:rsidRDefault="00DA5C72" w:rsidP="00DA5C72">
            <w:pPr>
              <w:spacing w:after="0" w:line="240" w:lineRule="auto"/>
              <w:jc w:val="both"/>
              <w:rPr>
                <w:rFonts w:ascii="Times New Roman" w:hAnsi="Times New Roman" w:cs="Times New Roman"/>
                <w:b/>
                <w:sz w:val="24"/>
                <w:szCs w:val="24"/>
              </w:rPr>
            </w:pPr>
            <w:r w:rsidRPr="00DA5C72">
              <w:rPr>
                <w:rFonts w:ascii="Times New Roman" w:hAnsi="Times New Roman" w:cs="Times New Roman"/>
                <w:b/>
                <w:sz w:val="24"/>
                <w:szCs w:val="24"/>
              </w:rPr>
              <w:t>2</w:t>
            </w:r>
          </w:p>
        </w:tc>
        <w:tc>
          <w:tcPr>
            <w:tcW w:w="979" w:type="pct"/>
            <w:vAlign w:val="center"/>
          </w:tcPr>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60:10:0121702:103</w:t>
            </w:r>
          </w:p>
        </w:tc>
        <w:tc>
          <w:tcPr>
            <w:tcW w:w="4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4142</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688"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Земли населенных пунктов</w:t>
            </w:r>
          </w:p>
        </w:tc>
        <w:tc>
          <w:tcPr>
            <w:tcW w:w="880"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ведения личного подсобного хозяйства</w:t>
            </w:r>
          </w:p>
        </w:tc>
        <w:tc>
          <w:tcPr>
            <w:tcW w:w="879" w:type="pct"/>
            <w:vAlign w:val="center"/>
          </w:tcPr>
          <w:p w:rsidR="00DA5C72" w:rsidRPr="00DA5C72" w:rsidRDefault="00DA5C72" w:rsidP="00DA5C72">
            <w:pPr>
              <w:spacing w:after="0" w:line="240" w:lineRule="auto"/>
              <w:jc w:val="both"/>
              <w:rPr>
                <w:rFonts w:ascii="Times New Roman" w:hAnsi="Times New Roman" w:cs="Times New Roman"/>
                <w:sz w:val="24"/>
                <w:szCs w:val="24"/>
              </w:rPr>
            </w:pPr>
            <w:r w:rsidRPr="00DA5C72">
              <w:rPr>
                <w:rFonts w:ascii="Times New Roman" w:hAnsi="Times New Roman" w:cs="Times New Roman"/>
                <w:sz w:val="24"/>
                <w:szCs w:val="24"/>
              </w:rPr>
              <w:t>Для ведения личного подсобного хозяйства</w:t>
            </w:r>
          </w:p>
        </w:tc>
      </w:tr>
    </w:tbl>
    <w:p w:rsidR="00DA5C72" w:rsidRPr="00DA5C72" w:rsidRDefault="00DA5C72" w:rsidP="00DA5C72">
      <w:pPr>
        <w:spacing w:after="0" w:line="240" w:lineRule="auto"/>
        <w:jc w:val="both"/>
        <w:rPr>
          <w:rFonts w:ascii="Times New Roman" w:hAnsi="Times New Roman" w:cs="Times New Roman"/>
          <w:sz w:val="24"/>
          <w:szCs w:val="24"/>
        </w:rPr>
      </w:pPr>
    </w:p>
    <w:p w:rsidR="00DA5C72" w:rsidRPr="00DA5C72" w:rsidRDefault="00DA5C72" w:rsidP="00DA5C72">
      <w:pPr>
        <w:spacing w:after="0" w:line="240" w:lineRule="auto"/>
        <w:jc w:val="both"/>
        <w:rPr>
          <w:rFonts w:ascii="Times New Roman" w:hAnsi="Times New Roman" w:cs="Times New Roman"/>
          <w:sz w:val="24"/>
          <w:szCs w:val="24"/>
        </w:rPr>
      </w:pPr>
    </w:p>
    <w:sectPr w:rsidR="00DA5C72" w:rsidRPr="00DA5C72" w:rsidSect="00B039E0">
      <w:pgSz w:w="11906" w:h="16838"/>
      <w:pgMar w:top="1134" w:right="992"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2B" w:rsidRDefault="00A9182B">
      <w:pPr>
        <w:spacing w:after="0" w:line="240" w:lineRule="auto"/>
      </w:pPr>
      <w:r>
        <w:separator/>
      </w:r>
    </w:p>
  </w:endnote>
  <w:endnote w:type="continuationSeparator" w:id="0">
    <w:p w:rsidR="00A9182B" w:rsidRDefault="00A91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Microsoft YaHe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2B" w:rsidRDefault="00A9182B">
      <w:pPr>
        <w:spacing w:after="0" w:line="240" w:lineRule="auto"/>
      </w:pPr>
      <w:r>
        <w:separator/>
      </w:r>
    </w:p>
  </w:footnote>
  <w:footnote w:type="continuationSeparator" w:id="0">
    <w:p w:rsidR="00A9182B" w:rsidRDefault="00A9182B">
      <w:pPr>
        <w:spacing w:after="0" w:line="240" w:lineRule="auto"/>
      </w:pPr>
      <w:r>
        <w:continuationSeparator/>
      </w:r>
    </w:p>
  </w:footnote>
  <w:footnote w:id="1">
    <w:p w:rsidR="00DA5C72" w:rsidRDefault="00DA5C72" w:rsidP="003D4946">
      <w:pPr>
        <w:pStyle w:val="afa"/>
        <w:snapToGrid w:val="0"/>
      </w:pPr>
    </w:p>
  </w:footnote>
  <w:footnote w:id="2">
    <w:p w:rsidR="00DA5C72" w:rsidRDefault="00DA5C72" w:rsidP="003D4946">
      <w:pPr>
        <w:pStyle w:val="afa"/>
        <w:snapToGrid w:val="0"/>
      </w:pPr>
    </w:p>
  </w:footnote>
  <w:footnote w:id="3">
    <w:p w:rsidR="00DA5C72" w:rsidRDefault="00DA5C72" w:rsidP="005D2FF0">
      <w:pPr>
        <w:pStyle w:val="afa"/>
      </w:pPr>
    </w:p>
  </w:footnote>
  <w:footnote w:id="4">
    <w:p w:rsidR="00DA5C72" w:rsidRDefault="00DA5C72" w:rsidP="00C2067C">
      <w:pPr>
        <w:pStyle w:val="a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C72" w:rsidRDefault="00DA5C72">
    <w:pPr>
      <w:pStyle w:val="a5"/>
      <w:tabs>
        <w:tab w:val="clear" w:pos="4677"/>
        <w:tab w:val="clear" w:pos="9355"/>
        <w:tab w:val="center" w:pos="4844"/>
        <w:tab w:val="right" w:pos="968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start w:val="1"/>
      <w:numFmt w:val="bullet"/>
      <w:lvlText w:val=""/>
      <w:lvlJc w:val="left"/>
      <w:pPr>
        <w:tabs>
          <w:tab w:val="left"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0FA6E9"/>
    <w:multiLevelType w:val="singleLevel"/>
    <w:tmpl w:val="020FA6E9"/>
    <w:lvl w:ilvl="0">
      <w:start w:val="1"/>
      <w:numFmt w:val="bullet"/>
      <w:lvlText w:val="−"/>
      <w:lvlJc w:val="left"/>
      <w:pPr>
        <w:tabs>
          <w:tab w:val="left" w:pos="420"/>
        </w:tabs>
        <w:ind w:left="420" w:hanging="420"/>
      </w:pPr>
      <w:rPr>
        <w:rFonts w:ascii="Arial" w:hAnsi="Arial" w:cs="Arial" w:hint="default"/>
      </w:rPr>
    </w:lvl>
  </w:abstractNum>
  <w:abstractNum w:abstractNumId="3">
    <w:nsid w:val="217F2F10"/>
    <w:multiLevelType w:val="multilevel"/>
    <w:tmpl w:val="217F2F10"/>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4">
    <w:nsid w:val="356936AB"/>
    <w:multiLevelType w:val="multilevel"/>
    <w:tmpl w:val="356936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39AB72F"/>
    <w:multiLevelType w:val="multilevel"/>
    <w:tmpl w:val="439AB72F"/>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336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nsid w:val="4F291589"/>
    <w:multiLevelType w:val="multilevel"/>
    <w:tmpl w:val="4F29158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69C90727"/>
    <w:multiLevelType w:val="multilevel"/>
    <w:tmpl w:val="69C90727"/>
    <w:lvl w:ilvl="0">
      <w:start w:val="1"/>
      <w:numFmt w:val="bullet"/>
      <w:lvlText w:val=""/>
      <w:lvlJc w:val="left"/>
      <w:pPr>
        <w:ind w:left="397" w:firstLine="0"/>
      </w:pPr>
      <w:rPr>
        <w:rFonts w:ascii="Wingdings" w:hAnsi="Wingdings" w:hint="default"/>
      </w:rPr>
    </w:lvl>
    <w:lvl w:ilvl="1">
      <w:start w:val="1"/>
      <w:numFmt w:val="bullet"/>
      <w:lvlText w:val="o"/>
      <w:lvlJc w:val="left"/>
      <w:pPr>
        <w:ind w:left="737" w:firstLine="57"/>
      </w:pPr>
      <w:rPr>
        <w:rFonts w:ascii="Courier New" w:hAnsi="Courier New" w:hint="default"/>
      </w:rPr>
    </w:lvl>
    <w:lvl w:ilvl="2">
      <w:start w:val="1"/>
      <w:numFmt w:val="bullet"/>
      <w:suff w:val="space"/>
      <w:lvlText w:val=""/>
      <w:lvlJc w:val="left"/>
      <w:pPr>
        <w:ind w:left="1134" w:firstLine="57"/>
      </w:pPr>
      <w:rPr>
        <w:rFonts w:ascii="Symbol" w:hAnsi="Symbol" w:hint="default"/>
      </w:rPr>
    </w:lvl>
    <w:lvl w:ilvl="3">
      <w:start w:val="1"/>
      <w:numFmt w:val="bullet"/>
      <w:suff w:val="space"/>
      <w:lvlText w:val="–"/>
      <w:lvlJc w:val="left"/>
      <w:pPr>
        <w:ind w:left="1531" w:firstLine="57"/>
      </w:pPr>
      <w:rPr>
        <w:rFonts w:ascii="Times New Roman" w:hAnsi="Times New Roman" w:cs="Times New Roman" w:hint="default"/>
      </w:rPr>
    </w:lvl>
    <w:lvl w:ilvl="4">
      <w:start w:val="1"/>
      <w:numFmt w:val="bullet"/>
      <w:suff w:val="space"/>
      <w:lvlText w:val="–"/>
      <w:lvlJc w:val="left"/>
      <w:pPr>
        <w:ind w:left="1928" w:firstLine="57"/>
      </w:pPr>
      <w:rPr>
        <w:rFonts w:ascii="Times New Roman" w:hAnsi="Times New Roman" w:cs="Times New Roman" w:hint="default"/>
      </w:rPr>
    </w:lvl>
    <w:lvl w:ilvl="5">
      <w:start w:val="1"/>
      <w:numFmt w:val="bullet"/>
      <w:suff w:val="space"/>
      <w:lvlText w:val="–"/>
      <w:lvlJc w:val="left"/>
      <w:pPr>
        <w:ind w:left="2325" w:firstLine="57"/>
      </w:pPr>
      <w:rPr>
        <w:rFonts w:ascii="Times New Roman" w:hAnsi="Times New Roman" w:cs="Times New Roman" w:hint="default"/>
      </w:rPr>
    </w:lvl>
    <w:lvl w:ilvl="6">
      <w:start w:val="1"/>
      <w:numFmt w:val="bullet"/>
      <w:suff w:val="space"/>
      <w:lvlText w:val=""/>
      <w:lvlJc w:val="left"/>
      <w:pPr>
        <w:ind w:left="2722" w:firstLine="57"/>
      </w:pPr>
      <w:rPr>
        <w:rFonts w:ascii="Symbol" w:hAnsi="Symbol" w:hint="default"/>
      </w:rPr>
    </w:lvl>
    <w:lvl w:ilvl="7">
      <w:start w:val="1"/>
      <w:numFmt w:val="bullet"/>
      <w:suff w:val="space"/>
      <w:lvlText w:val="–"/>
      <w:lvlJc w:val="left"/>
      <w:pPr>
        <w:ind w:left="3119" w:firstLine="57"/>
      </w:pPr>
      <w:rPr>
        <w:rFonts w:ascii="Times New Roman" w:hAnsi="Times New Roman" w:cs="Times New Roman" w:hint="default"/>
      </w:rPr>
    </w:lvl>
    <w:lvl w:ilvl="8">
      <w:start w:val="1"/>
      <w:numFmt w:val="bullet"/>
      <w:suff w:val="space"/>
      <w:lvlText w:val=""/>
      <w:lvlJc w:val="left"/>
      <w:pPr>
        <w:ind w:left="3516" w:firstLine="57"/>
      </w:pPr>
      <w:rPr>
        <w:rFonts w:ascii="Symbol" w:hAnsi="Symbol" w:hint="default"/>
      </w:rPr>
    </w:lvl>
  </w:abstractNum>
  <w:num w:numId="1">
    <w:abstractNumId w:val="1"/>
  </w:num>
  <w:num w:numId="2">
    <w:abstractNumId w:val="5"/>
  </w:num>
  <w:num w:numId="3">
    <w:abstractNumId w:val="2"/>
  </w:num>
  <w:num w:numId="4">
    <w:abstractNumId w:val="6"/>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4CF"/>
    <w:rsid w:val="00022768"/>
    <w:rsid w:val="000246FA"/>
    <w:rsid w:val="00052452"/>
    <w:rsid w:val="000D5536"/>
    <w:rsid w:val="0012504B"/>
    <w:rsid w:val="00126AE8"/>
    <w:rsid w:val="00144ACF"/>
    <w:rsid w:val="00171842"/>
    <w:rsid w:val="001A68B2"/>
    <w:rsid w:val="00201BA8"/>
    <w:rsid w:val="00213E8A"/>
    <w:rsid w:val="00216875"/>
    <w:rsid w:val="0022129C"/>
    <w:rsid w:val="0023671D"/>
    <w:rsid w:val="002713AC"/>
    <w:rsid w:val="002D6A97"/>
    <w:rsid w:val="00302F3C"/>
    <w:rsid w:val="00315465"/>
    <w:rsid w:val="003225C7"/>
    <w:rsid w:val="00397DA9"/>
    <w:rsid w:val="003B0BB1"/>
    <w:rsid w:val="003C11B3"/>
    <w:rsid w:val="003D4946"/>
    <w:rsid w:val="00406F39"/>
    <w:rsid w:val="004340C4"/>
    <w:rsid w:val="004E79BE"/>
    <w:rsid w:val="00544D03"/>
    <w:rsid w:val="0055128C"/>
    <w:rsid w:val="00594120"/>
    <w:rsid w:val="005D2FF0"/>
    <w:rsid w:val="00602AD4"/>
    <w:rsid w:val="00645000"/>
    <w:rsid w:val="0064659F"/>
    <w:rsid w:val="0069007B"/>
    <w:rsid w:val="006A0A08"/>
    <w:rsid w:val="00707205"/>
    <w:rsid w:val="00786B72"/>
    <w:rsid w:val="008356AD"/>
    <w:rsid w:val="00840974"/>
    <w:rsid w:val="008474EF"/>
    <w:rsid w:val="00854133"/>
    <w:rsid w:val="00855D85"/>
    <w:rsid w:val="008621F8"/>
    <w:rsid w:val="008C62CB"/>
    <w:rsid w:val="008D0970"/>
    <w:rsid w:val="008F1469"/>
    <w:rsid w:val="008F6CBE"/>
    <w:rsid w:val="00964267"/>
    <w:rsid w:val="0098031C"/>
    <w:rsid w:val="00993A56"/>
    <w:rsid w:val="009F0484"/>
    <w:rsid w:val="00A06F48"/>
    <w:rsid w:val="00A428CF"/>
    <w:rsid w:val="00A6177A"/>
    <w:rsid w:val="00A81553"/>
    <w:rsid w:val="00A8705D"/>
    <w:rsid w:val="00A9182B"/>
    <w:rsid w:val="00AA56DA"/>
    <w:rsid w:val="00AB3353"/>
    <w:rsid w:val="00B039E0"/>
    <w:rsid w:val="00B1349A"/>
    <w:rsid w:val="00B421A0"/>
    <w:rsid w:val="00B6280A"/>
    <w:rsid w:val="00B73088"/>
    <w:rsid w:val="00BF5700"/>
    <w:rsid w:val="00C2067C"/>
    <w:rsid w:val="00C330FD"/>
    <w:rsid w:val="00C40B2D"/>
    <w:rsid w:val="00C760E0"/>
    <w:rsid w:val="00C93BB4"/>
    <w:rsid w:val="00CA3BCF"/>
    <w:rsid w:val="00CC74CF"/>
    <w:rsid w:val="00CE1F22"/>
    <w:rsid w:val="00CF35D2"/>
    <w:rsid w:val="00D4640E"/>
    <w:rsid w:val="00D75753"/>
    <w:rsid w:val="00D91791"/>
    <w:rsid w:val="00DA5C72"/>
    <w:rsid w:val="00DB7FF9"/>
    <w:rsid w:val="00DC14DF"/>
    <w:rsid w:val="00DC672F"/>
    <w:rsid w:val="00DF4388"/>
    <w:rsid w:val="00E27FD9"/>
    <w:rsid w:val="00E63E35"/>
    <w:rsid w:val="00E97F86"/>
    <w:rsid w:val="00F022FE"/>
    <w:rsid w:val="00F10857"/>
    <w:rsid w:val="00F12524"/>
    <w:rsid w:val="00F35821"/>
    <w:rsid w:val="00F43BB9"/>
    <w:rsid w:val="00F55411"/>
    <w:rsid w:val="00FB2872"/>
    <w:rsid w:val="00FC2970"/>
    <w:rsid w:val="00FE5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qFormat="1"/>
    <w:lsdException w:name="annotation reference" w:uiPriority="0" w:qFormat="1"/>
    <w:lsdException w:name="page number" w:uiPriority="0" w:qFormat="1"/>
    <w:lsdException w:name="endnote reference" w:uiPriority="0" w:qFormat="1"/>
    <w:lsdException w:name="endnote text" w:uiPriority="0" w:qFormat="1"/>
    <w:lsdException w:name="List"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First Indent"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Table Simple 1" w:uiPriority="0" w:qFormat="1"/>
    <w:lsdException w:name="Table Grid 1" w:uiPriority="0" w:qFormat="1"/>
    <w:lsdException w:name="Table Professional" w:uiPriority="0"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ACF"/>
  </w:style>
  <w:style w:type="paragraph" w:styleId="1">
    <w:name w:val="heading 1"/>
    <w:basedOn w:val="a"/>
    <w:next w:val="a"/>
    <w:link w:val="10"/>
    <w:uiPriority w:val="9"/>
    <w:qFormat/>
    <w:rsid w:val="008F6C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qFormat/>
    <w:rsid w:val="003D4946"/>
    <w:pPr>
      <w:spacing w:beforeAutospacing="1" w:after="0" w:afterAutospacing="1" w:line="240" w:lineRule="auto"/>
      <w:outlineLvl w:val="1"/>
    </w:pPr>
    <w:rPr>
      <w:rFonts w:ascii="SimSun" w:eastAsia="SimSun" w:hAnsi="SimSun" w:cs="Times New Roman" w:hint="eastAsia"/>
      <w:b/>
      <w:bCs/>
      <w:i/>
      <w:iCs/>
      <w:sz w:val="36"/>
      <w:szCs w:val="36"/>
      <w:lang w:val="en-US" w:eastAsia="zh-CN"/>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paragraph" w:styleId="4">
    <w:name w:val="heading 4"/>
    <w:basedOn w:val="a"/>
    <w:next w:val="a"/>
    <w:link w:val="40"/>
    <w:autoRedefine/>
    <w:qFormat/>
    <w:rsid w:val="003D494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autoRedefine/>
    <w:qFormat/>
    <w:rsid w:val="003D494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autoRedefine/>
    <w:qFormat/>
    <w:rsid w:val="003D494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autoRedefine/>
    <w:qFormat/>
    <w:rsid w:val="003D49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autoRedefine/>
    <w:qFormat/>
    <w:rsid w:val="003D494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autoRedefine/>
    <w:qFormat/>
    <w:rsid w:val="003D494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F6C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3D4946"/>
    <w:rPr>
      <w:rFonts w:ascii="SimSun" w:eastAsia="SimSun" w:hAnsi="SimSun" w:cs="Times New Roman"/>
      <w:b/>
      <w:bCs/>
      <w:i/>
      <w:iCs/>
      <w:sz w:val="36"/>
      <w:szCs w:val="36"/>
      <w:lang w:val="en-US" w:eastAsia="zh-CN"/>
    </w:rPr>
  </w:style>
  <w:style w:type="character" w:customStyle="1" w:styleId="30">
    <w:name w:val="Заголовок 3 Знак"/>
    <w:basedOn w:val="a0"/>
    <w:link w:val="3"/>
    <w:qFormat/>
    <w:rsid w:val="00022768"/>
    <w:rPr>
      <w:rFonts w:ascii="Arial" w:eastAsia="Times New Roman" w:hAnsi="Arial" w:cs="Arial"/>
      <w:b/>
      <w:bCs/>
      <w:sz w:val="26"/>
      <w:szCs w:val="26"/>
    </w:rPr>
  </w:style>
  <w:style w:type="character" w:customStyle="1" w:styleId="40">
    <w:name w:val="Заголовок 4 Знак"/>
    <w:basedOn w:val="a0"/>
    <w:link w:val="4"/>
    <w:qFormat/>
    <w:rsid w:val="003D4946"/>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3D4946"/>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3D4946"/>
    <w:rPr>
      <w:rFonts w:ascii="Times New Roman" w:eastAsia="Times New Roman" w:hAnsi="Times New Roman" w:cs="Times New Roman"/>
      <w:b/>
      <w:bCs/>
    </w:rPr>
  </w:style>
  <w:style w:type="character" w:customStyle="1" w:styleId="70">
    <w:name w:val="Заголовок 7 Знак"/>
    <w:basedOn w:val="a0"/>
    <w:link w:val="7"/>
    <w:qFormat/>
    <w:rsid w:val="003D4946"/>
    <w:rPr>
      <w:rFonts w:ascii="Times New Roman" w:eastAsia="Times New Roman" w:hAnsi="Times New Roman" w:cs="Times New Roman"/>
      <w:sz w:val="24"/>
      <w:szCs w:val="24"/>
    </w:rPr>
  </w:style>
  <w:style w:type="character" w:customStyle="1" w:styleId="80">
    <w:name w:val="Заголовок 8 Знак"/>
    <w:basedOn w:val="a0"/>
    <w:link w:val="8"/>
    <w:qFormat/>
    <w:rsid w:val="003D4946"/>
    <w:rPr>
      <w:rFonts w:ascii="Times New Roman" w:eastAsia="Times New Roman" w:hAnsi="Times New Roman" w:cs="Times New Roman"/>
      <w:i/>
      <w:iCs/>
      <w:sz w:val="24"/>
      <w:szCs w:val="24"/>
    </w:rPr>
  </w:style>
  <w:style w:type="character" w:customStyle="1" w:styleId="90">
    <w:name w:val="Заголовок 9 Знак"/>
    <w:basedOn w:val="a0"/>
    <w:link w:val="9"/>
    <w:qFormat/>
    <w:rsid w:val="003D4946"/>
    <w:rPr>
      <w:rFonts w:ascii="Arial" w:eastAsia="Times New Roman" w:hAnsi="Arial" w:cs="Arial"/>
    </w:rPr>
  </w:style>
  <w:style w:type="paragraph" w:styleId="a3">
    <w:name w:val="Balloon Text"/>
    <w:basedOn w:val="a"/>
    <w:link w:val="a4"/>
    <w:unhideWhenUsed/>
    <w:qFormat/>
    <w:rsid w:val="00CC74CF"/>
    <w:pPr>
      <w:spacing w:after="0" w:line="240" w:lineRule="auto"/>
    </w:pPr>
    <w:rPr>
      <w:rFonts w:ascii="Tahoma" w:hAnsi="Tahoma" w:cs="Tahoma"/>
      <w:sz w:val="16"/>
      <w:szCs w:val="16"/>
    </w:rPr>
  </w:style>
  <w:style w:type="character" w:customStyle="1" w:styleId="a4">
    <w:name w:val="Текст выноски Знак"/>
    <w:basedOn w:val="a0"/>
    <w:link w:val="a3"/>
    <w:qFormat/>
    <w:rsid w:val="00CC74CF"/>
    <w:rPr>
      <w:rFonts w:ascii="Tahoma" w:hAnsi="Tahoma" w:cs="Tahoma"/>
      <w:sz w:val="16"/>
      <w:szCs w:val="16"/>
    </w:rPr>
  </w:style>
  <w:style w:type="paragraph" w:styleId="a5">
    <w:name w:val="header"/>
    <w:basedOn w:val="a"/>
    <w:link w:val="a6"/>
    <w:autoRedefine/>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qFormat/>
    <w:rsid w:val="008F6CBE"/>
    <w:rPr>
      <w:rFonts w:ascii="Times New Roman" w:eastAsia="Times New Roman" w:hAnsi="Times New Roman" w:cs="Times New Roman"/>
      <w:sz w:val="24"/>
      <w:szCs w:val="24"/>
    </w:rPr>
  </w:style>
  <w:style w:type="paragraph" w:styleId="a7">
    <w:name w:val="footer"/>
    <w:basedOn w:val="a"/>
    <w:link w:val="a8"/>
    <w:autoRedefine/>
    <w:uiPriority w:val="99"/>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8F6CBE"/>
    <w:rPr>
      <w:rFonts w:ascii="Times New Roman" w:eastAsia="Times New Roman" w:hAnsi="Times New Roman" w:cs="Times New Roman"/>
      <w:sz w:val="24"/>
      <w:szCs w:val="24"/>
    </w:rPr>
  </w:style>
  <w:style w:type="character" w:styleId="a9">
    <w:name w:val="Hyperlink"/>
    <w:basedOn w:val="a0"/>
    <w:uiPriority w:val="99"/>
    <w:unhideWhenUsed/>
    <w:qFormat/>
    <w:rsid w:val="008F6CBE"/>
    <w:rPr>
      <w:color w:val="0000FF" w:themeColor="hyperlink"/>
      <w:u w:val="single"/>
    </w:rPr>
  </w:style>
  <w:style w:type="table" w:styleId="aa">
    <w:name w:val="Table Grid"/>
    <w:basedOn w:val="a1"/>
    <w:uiPriority w:val="59"/>
    <w:qFormat/>
    <w:rsid w:val="003D4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autoRedefine/>
    <w:qFormat/>
    <w:rsid w:val="003D4946"/>
    <w:rPr>
      <w:color w:val="800080"/>
      <w:u w:val="single"/>
    </w:rPr>
  </w:style>
  <w:style w:type="character" w:styleId="ac">
    <w:name w:val="footnote reference"/>
    <w:basedOn w:val="a0"/>
    <w:autoRedefine/>
    <w:uiPriority w:val="99"/>
    <w:qFormat/>
    <w:rsid w:val="003D4946"/>
    <w:rPr>
      <w:vertAlign w:val="superscript"/>
    </w:rPr>
  </w:style>
  <w:style w:type="character" w:styleId="ad">
    <w:name w:val="annotation reference"/>
    <w:basedOn w:val="a0"/>
    <w:qFormat/>
    <w:rsid w:val="003D4946"/>
    <w:rPr>
      <w:sz w:val="16"/>
      <w:szCs w:val="16"/>
    </w:rPr>
  </w:style>
  <w:style w:type="character" w:styleId="ae">
    <w:name w:val="Emphasis"/>
    <w:basedOn w:val="a0"/>
    <w:autoRedefine/>
    <w:qFormat/>
    <w:rsid w:val="003D4946"/>
    <w:rPr>
      <w:i/>
      <w:iCs/>
    </w:rPr>
  </w:style>
  <w:style w:type="character" w:styleId="af">
    <w:name w:val="page number"/>
    <w:basedOn w:val="a0"/>
    <w:autoRedefine/>
    <w:qFormat/>
    <w:rsid w:val="003D4946"/>
  </w:style>
  <w:style w:type="character" w:styleId="af0">
    <w:name w:val="Strong"/>
    <w:basedOn w:val="a0"/>
    <w:autoRedefine/>
    <w:uiPriority w:val="22"/>
    <w:qFormat/>
    <w:rsid w:val="003D4946"/>
    <w:rPr>
      <w:b/>
      <w:bCs/>
    </w:rPr>
  </w:style>
  <w:style w:type="paragraph" w:styleId="21">
    <w:name w:val="Body Text 2"/>
    <w:basedOn w:val="a"/>
    <w:link w:val="22"/>
    <w:autoRedefine/>
    <w:qFormat/>
    <w:rsid w:val="003D494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3D4946"/>
    <w:rPr>
      <w:rFonts w:ascii="Times New Roman" w:eastAsia="Times New Roman" w:hAnsi="Times New Roman" w:cs="Times New Roman"/>
      <w:sz w:val="24"/>
      <w:szCs w:val="24"/>
    </w:rPr>
  </w:style>
  <w:style w:type="paragraph" w:styleId="af1">
    <w:name w:val="Plain Text"/>
    <w:basedOn w:val="a"/>
    <w:link w:val="af2"/>
    <w:autoRedefine/>
    <w:qFormat/>
    <w:rsid w:val="003D4946"/>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qFormat/>
    <w:rsid w:val="003D4946"/>
    <w:rPr>
      <w:rFonts w:ascii="Courier New" w:eastAsia="Times New Roman" w:hAnsi="Courier New" w:cs="Times New Roman"/>
      <w:sz w:val="20"/>
      <w:szCs w:val="20"/>
    </w:rPr>
  </w:style>
  <w:style w:type="paragraph" w:styleId="31">
    <w:name w:val="Body Text Indent 3"/>
    <w:basedOn w:val="a"/>
    <w:link w:val="32"/>
    <w:autoRedefine/>
    <w:qFormat/>
    <w:rsid w:val="003D49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3D4946"/>
    <w:rPr>
      <w:rFonts w:ascii="Times New Roman" w:eastAsia="Times New Roman" w:hAnsi="Times New Roman" w:cs="Times New Roman"/>
      <w:sz w:val="16"/>
      <w:szCs w:val="16"/>
    </w:rPr>
  </w:style>
  <w:style w:type="character" w:customStyle="1" w:styleId="af3">
    <w:name w:val="Текст концевой сноски Знак"/>
    <w:basedOn w:val="a0"/>
    <w:link w:val="af4"/>
    <w:semiHidden/>
    <w:rsid w:val="003D4946"/>
    <w:rPr>
      <w:rFonts w:ascii="Times New Roman" w:eastAsia="Times New Roman" w:hAnsi="Times New Roman" w:cs="Times New Roman"/>
      <w:sz w:val="20"/>
      <w:szCs w:val="20"/>
    </w:rPr>
  </w:style>
  <w:style w:type="paragraph" w:styleId="af4">
    <w:name w:val="endnote text"/>
    <w:basedOn w:val="a"/>
    <w:link w:val="af3"/>
    <w:autoRedefine/>
    <w:semiHidden/>
    <w:qFormat/>
    <w:rsid w:val="003D4946"/>
    <w:pPr>
      <w:spacing w:after="0" w:line="240" w:lineRule="auto"/>
    </w:pPr>
    <w:rPr>
      <w:rFonts w:ascii="Times New Roman" w:eastAsia="Times New Roman" w:hAnsi="Times New Roman" w:cs="Times New Roman"/>
      <w:sz w:val="20"/>
      <w:szCs w:val="20"/>
    </w:rPr>
  </w:style>
  <w:style w:type="paragraph" w:styleId="af5">
    <w:name w:val="caption"/>
    <w:basedOn w:val="a"/>
    <w:next w:val="a"/>
    <w:autoRedefine/>
    <w:qFormat/>
    <w:rsid w:val="003D4946"/>
    <w:pPr>
      <w:spacing w:before="120" w:after="120" w:line="240" w:lineRule="auto"/>
    </w:pPr>
    <w:rPr>
      <w:rFonts w:ascii="Times New Roman" w:eastAsia="Times New Roman" w:hAnsi="Times New Roman" w:cs="Times New Roman"/>
      <w:b/>
      <w:bCs/>
      <w:sz w:val="20"/>
      <w:szCs w:val="20"/>
    </w:rPr>
  </w:style>
  <w:style w:type="paragraph" w:styleId="af6">
    <w:name w:val="annotation text"/>
    <w:basedOn w:val="a"/>
    <w:link w:val="af7"/>
    <w:autoRedefine/>
    <w:qFormat/>
    <w:rsid w:val="003D4946"/>
    <w:pPr>
      <w:spacing w:after="0" w:line="240" w:lineRule="auto"/>
    </w:pPr>
    <w:rPr>
      <w:rFonts w:ascii="Times New Roman" w:eastAsia="Times New Roman" w:hAnsi="Times New Roman" w:cs="Times New Roman"/>
      <w:sz w:val="24"/>
      <w:szCs w:val="24"/>
    </w:rPr>
  </w:style>
  <w:style w:type="character" w:customStyle="1" w:styleId="af7">
    <w:name w:val="Текст примечания Знак"/>
    <w:basedOn w:val="a0"/>
    <w:link w:val="af6"/>
    <w:qFormat/>
    <w:rsid w:val="003D4946"/>
    <w:rPr>
      <w:rFonts w:ascii="Times New Roman" w:eastAsia="Times New Roman" w:hAnsi="Times New Roman" w:cs="Times New Roman"/>
      <w:sz w:val="24"/>
      <w:szCs w:val="24"/>
    </w:rPr>
  </w:style>
  <w:style w:type="character" w:customStyle="1" w:styleId="af8">
    <w:name w:val="Схема документа Знак"/>
    <w:basedOn w:val="a0"/>
    <w:link w:val="af9"/>
    <w:semiHidden/>
    <w:qFormat/>
    <w:rsid w:val="003D4946"/>
    <w:rPr>
      <w:rFonts w:ascii="Tahoma" w:eastAsia="Times New Roman" w:hAnsi="Tahoma" w:cs="Tahoma"/>
      <w:sz w:val="20"/>
      <w:szCs w:val="20"/>
      <w:shd w:val="clear" w:color="auto" w:fill="000080"/>
    </w:rPr>
  </w:style>
  <w:style w:type="paragraph" w:styleId="af9">
    <w:name w:val="Document Map"/>
    <w:basedOn w:val="a"/>
    <w:link w:val="af8"/>
    <w:autoRedefine/>
    <w:semiHidden/>
    <w:qFormat/>
    <w:rsid w:val="003D4946"/>
    <w:pPr>
      <w:shd w:val="clear" w:color="auto" w:fill="000080"/>
      <w:spacing w:after="0" w:line="240" w:lineRule="auto"/>
    </w:pPr>
    <w:rPr>
      <w:rFonts w:ascii="Tahoma" w:eastAsia="Times New Roman" w:hAnsi="Tahoma" w:cs="Tahoma"/>
      <w:sz w:val="20"/>
      <w:szCs w:val="20"/>
    </w:rPr>
  </w:style>
  <w:style w:type="paragraph" w:styleId="afa">
    <w:name w:val="footnote text"/>
    <w:basedOn w:val="a"/>
    <w:link w:val="afb"/>
    <w:autoRedefine/>
    <w:qFormat/>
    <w:rsid w:val="003D4946"/>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3D4946"/>
    <w:rPr>
      <w:rFonts w:ascii="Times New Roman" w:eastAsia="Times New Roman" w:hAnsi="Times New Roman" w:cs="Times New Roman"/>
      <w:sz w:val="20"/>
      <w:szCs w:val="20"/>
    </w:rPr>
  </w:style>
  <w:style w:type="paragraph" w:styleId="91">
    <w:name w:val="toc 9"/>
    <w:basedOn w:val="a"/>
    <w:next w:val="a"/>
    <w:autoRedefine/>
    <w:semiHidden/>
    <w:qFormat/>
    <w:rsid w:val="003D4946"/>
    <w:pPr>
      <w:spacing w:after="0" w:line="240" w:lineRule="auto"/>
      <w:ind w:left="1680"/>
    </w:pPr>
    <w:rPr>
      <w:rFonts w:ascii="Times New Roman" w:eastAsia="Times New Roman" w:hAnsi="Times New Roman" w:cs="Times New Roman"/>
      <w:sz w:val="20"/>
      <w:szCs w:val="20"/>
    </w:rPr>
  </w:style>
  <w:style w:type="paragraph" w:styleId="afc">
    <w:name w:val="Body Text"/>
    <w:basedOn w:val="a"/>
    <w:link w:val="afd"/>
    <w:autoRedefine/>
    <w:qFormat/>
    <w:rsid w:val="003D4946"/>
    <w:pPr>
      <w:spacing w:after="120" w:line="240" w:lineRule="auto"/>
    </w:pPr>
    <w:rPr>
      <w:rFonts w:ascii="Times New Roman" w:eastAsia="Times New Roman" w:hAnsi="Times New Roman" w:cs="Times New Roman"/>
      <w:sz w:val="24"/>
      <w:szCs w:val="24"/>
    </w:rPr>
  </w:style>
  <w:style w:type="character" w:customStyle="1" w:styleId="afd">
    <w:name w:val="Основной текст Знак"/>
    <w:basedOn w:val="a0"/>
    <w:link w:val="afc"/>
    <w:qFormat/>
    <w:rsid w:val="003D4946"/>
    <w:rPr>
      <w:rFonts w:ascii="Times New Roman" w:eastAsia="Times New Roman" w:hAnsi="Times New Roman" w:cs="Times New Roman"/>
      <w:sz w:val="24"/>
      <w:szCs w:val="24"/>
    </w:rPr>
  </w:style>
  <w:style w:type="paragraph" w:styleId="11">
    <w:name w:val="toc 1"/>
    <w:basedOn w:val="a"/>
    <w:next w:val="a"/>
    <w:autoRedefine/>
    <w:uiPriority w:val="39"/>
    <w:qFormat/>
    <w:rsid w:val="003D4946"/>
    <w:pPr>
      <w:widowControl w:val="0"/>
      <w:adjustRightInd w:val="0"/>
      <w:spacing w:before="120" w:after="120" w:line="360" w:lineRule="atLeast"/>
      <w:textAlignment w:val="baseline"/>
    </w:pPr>
    <w:rPr>
      <w:rFonts w:ascii="Times New Roman" w:eastAsia="Times New Roman" w:hAnsi="Times New Roman" w:cs="Times New Roman"/>
      <w:b/>
      <w:bCs/>
      <w:caps/>
      <w:sz w:val="20"/>
      <w:szCs w:val="20"/>
    </w:rPr>
  </w:style>
  <w:style w:type="paragraph" w:styleId="33">
    <w:name w:val="toc 3"/>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23">
    <w:name w:val="toc 2"/>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afe">
    <w:name w:val="Body Text First Indent"/>
    <w:basedOn w:val="afc"/>
    <w:link w:val="aff"/>
    <w:autoRedefine/>
    <w:qFormat/>
    <w:rsid w:val="003D4946"/>
    <w:pPr>
      <w:ind w:firstLine="210"/>
    </w:pPr>
  </w:style>
  <w:style w:type="character" w:customStyle="1" w:styleId="aff">
    <w:name w:val="Красная строка Знак"/>
    <w:basedOn w:val="afd"/>
    <w:link w:val="afe"/>
    <w:rsid w:val="003D4946"/>
    <w:rPr>
      <w:rFonts w:ascii="Times New Roman" w:eastAsia="Times New Roman" w:hAnsi="Times New Roman" w:cs="Times New Roman"/>
      <w:sz w:val="24"/>
      <w:szCs w:val="24"/>
    </w:rPr>
  </w:style>
  <w:style w:type="paragraph" w:styleId="aff0">
    <w:name w:val="Body Text Indent"/>
    <w:basedOn w:val="a"/>
    <w:link w:val="aff1"/>
    <w:autoRedefine/>
    <w:qFormat/>
    <w:rsid w:val="003D4946"/>
    <w:pPr>
      <w:spacing w:after="0" w:line="240" w:lineRule="auto"/>
      <w:ind w:left="482"/>
    </w:pPr>
    <w:rPr>
      <w:rFonts w:ascii="Times New Roman" w:eastAsia="Times New Roman" w:hAnsi="Times New Roman" w:cs="Times New Roman"/>
      <w:i/>
      <w:szCs w:val="20"/>
    </w:rPr>
  </w:style>
  <w:style w:type="character" w:customStyle="1" w:styleId="aff1">
    <w:name w:val="Основной текст с отступом Знак"/>
    <w:basedOn w:val="a0"/>
    <w:link w:val="aff0"/>
    <w:rsid w:val="003D4946"/>
    <w:rPr>
      <w:rFonts w:ascii="Times New Roman" w:eastAsia="Times New Roman" w:hAnsi="Times New Roman" w:cs="Times New Roman"/>
      <w:i/>
      <w:szCs w:val="20"/>
    </w:rPr>
  </w:style>
  <w:style w:type="paragraph" w:styleId="aff2">
    <w:name w:val="List Bullet"/>
    <w:basedOn w:val="a"/>
    <w:autoRedefine/>
    <w:qFormat/>
    <w:rsid w:val="003D4946"/>
    <w:pPr>
      <w:tabs>
        <w:tab w:val="left" w:pos="360"/>
      </w:tabs>
      <w:spacing w:after="0" w:line="240" w:lineRule="auto"/>
      <w:ind w:left="360" w:hanging="360"/>
    </w:pPr>
    <w:rPr>
      <w:rFonts w:ascii="Times New Roman" w:eastAsia="Times New Roman" w:hAnsi="Times New Roman" w:cs="Times New Roman"/>
      <w:sz w:val="24"/>
      <w:szCs w:val="24"/>
    </w:rPr>
  </w:style>
  <w:style w:type="paragraph" w:styleId="aff3">
    <w:name w:val="List"/>
    <w:basedOn w:val="a"/>
    <w:autoRedefine/>
    <w:uiPriority w:val="99"/>
    <w:qFormat/>
    <w:rsid w:val="003D4946"/>
    <w:pPr>
      <w:widowControl w:val="0"/>
      <w:tabs>
        <w:tab w:val="left" w:pos="1440"/>
      </w:tabs>
      <w:suppressAutoHyphens/>
      <w:autoSpaceDE w:val="0"/>
      <w:spacing w:before="120" w:after="0" w:line="240" w:lineRule="auto"/>
      <w:ind w:left="1440" w:hanging="360"/>
      <w:jc w:val="both"/>
    </w:pPr>
    <w:rPr>
      <w:rFonts w:ascii="Times New Roman" w:eastAsia="Times New Roman" w:hAnsi="Times New Roman" w:cs="Times New Roman"/>
      <w:sz w:val="26"/>
      <w:szCs w:val="26"/>
      <w:lang w:eastAsia="ar-SA"/>
    </w:rPr>
  </w:style>
  <w:style w:type="paragraph" w:styleId="aff4">
    <w:name w:val="Normal (Web)"/>
    <w:basedOn w:val="a"/>
    <w:autoRedefine/>
    <w:qFormat/>
    <w:rsid w:val="003D4946"/>
    <w:pPr>
      <w:spacing w:before="100" w:beforeAutospacing="1" w:after="100" w:afterAutospacing="1" w:line="240" w:lineRule="auto"/>
    </w:pPr>
    <w:rPr>
      <w:rFonts w:ascii="Verdana" w:eastAsia="Arial Unicode MS" w:hAnsi="Verdana" w:cs="Arial Unicode MS"/>
      <w:sz w:val="11"/>
      <w:szCs w:val="11"/>
    </w:rPr>
  </w:style>
  <w:style w:type="paragraph" w:styleId="34">
    <w:name w:val="Body Text 3"/>
    <w:basedOn w:val="a"/>
    <w:link w:val="35"/>
    <w:autoRedefine/>
    <w:qFormat/>
    <w:rsid w:val="003D4946"/>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D4946"/>
    <w:rPr>
      <w:rFonts w:ascii="Times New Roman" w:eastAsia="Times New Roman" w:hAnsi="Times New Roman" w:cs="Times New Roman"/>
      <w:sz w:val="16"/>
      <w:szCs w:val="16"/>
    </w:rPr>
  </w:style>
  <w:style w:type="paragraph" w:styleId="24">
    <w:name w:val="Body Text Indent 2"/>
    <w:basedOn w:val="a"/>
    <w:link w:val="25"/>
    <w:autoRedefine/>
    <w:qFormat/>
    <w:rsid w:val="003D4946"/>
    <w:pPr>
      <w:widowControl w:val="0"/>
      <w:tabs>
        <w:tab w:val="left" w:pos="420"/>
      </w:tabs>
      <w:spacing w:after="0" w:line="240" w:lineRule="auto"/>
      <w:ind w:firstLine="709"/>
      <w:jc w:val="both"/>
    </w:pPr>
    <w:rPr>
      <w:rFonts w:ascii="Times New Roman" w:eastAsia="Times New Roman" w:hAnsi="Times New Roman" w:cs="Times New Roman"/>
      <w:lang w:eastAsia="zh-CN"/>
    </w:rPr>
  </w:style>
  <w:style w:type="character" w:customStyle="1" w:styleId="25">
    <w:name w:val="Основной текст с отступом 2 Знак"/>
    <w:basedOn w:val="a0"/>
    <w:link w:val="24"/>
    <w:qFormat/>
    <w:rsid w:val="003D4946"/>
    <w:rPr>
      <w:rFonts w:ascii="Times New Roman" w:eastAsia="Times New Roman" w:hAnsi="Times New Roman" w:cs="Times New Roman"/>
      <w:lang w:eastAsia="zh-CN"/>
    </w:rPr>
  </w:style>
  <w:style w:type="paragraph" w:styleId="aff5">
    <w:name w:val="Subtitle"/>
    <w:basedOn w:val="a"/>
    <w:link w:val="aff6"/>
    <w:autoRedefine/>
    <w:qFormat/>
    <w:rsid w:val="003D4946"/>
    <w:pPr>
      <w:spacing w:after="0" w:line="240" w:lineRule="auto"/>
    </w:pPr>
    <w:rPr>
      <w:rFonts w:ascii="Times New Roman" w:eastAsia="Times New Roman" w:hAnsi="Times New Roman" w:cs="Times New Roman"/>
      <w:sz w:val="28"/>
      <w:szCs w:val="20"/>
    </w:rPr>
  </w:style>
  <w:style w:type="character" w:customStyle="1" w:styleId="aff6">
    <w:name w:val="Подзаголовок Знак"/>
    <w:basedOn w:val="a0"/>
    <w:link w:val="aff5"/>
    <w:rsid w:val="003D4946"/>
    <w:rPr>
      <w:rFonts w:ascii="Times New Roman" w:eastAsia="Times New Roman" w:hAnsi="Times New Roman" w:cs="Times New Roman"/>
      <w:sz w:val="28"/>
      <w:szCs w:val="20"/>
    </w:rPr>
  </w:style>
  <w:style w:type="paragraph" w:styleId="aff7">
    <w:name w:val="Block Text"/>
    <w:basedOn w:val="a"/>
    <w:autoRedefine/>
    <w:qFormat/>
    <w:rsid w:val="003D4946"/>
    <w:pPr>
      <w:spacing w:after="0" w:line="240" w:lineRule="auto"/>
      <w:ind w:left="-1701" w:right="-1617" w:firstLine="425"/>
    </w:pPr>
    <w:rPr>
      <w:rFonts w:ascii="Times New Roman" w:eastAsia="Times New Roman" w:hAnsi="Times New Roman" w:cs="Times New Roman"/>
      <w:sz w:val="24"/>
      <w:szCs w:val="20"/>
    </w:rPr>
  </w:style>
  <w:style w:type="paragraph" w:customStyle="1" w:styleId="aff8">
    <w:name w:val="Таблица"/>
    <w:basedOn w:val="af5"/>
    <w:autoRedefine/>
    <w:qFormat/>
    <w:rsid w:val="003D4946"/>
    <w:pPr>
      <w:jc w:val="both"/>
    </w:pPr>
    <w:rPr>
      <w:b w:val="0"/>
      <w:sz w:val="24"/>
    </w:rPr>
  </w:style>
  <w:style w:type="paragraph" w:customStyle="1" w:styleId="aff9">
    <w:name w:val="ОСН"/>
    <w:basedOn w:val="a"/>
    <w:autoRedefine/>
    <w:qFormat/>
    <w:rsid w:val="003D4946"/>
    <w:pPr>
      <w:spacing w:before="60" w:after="60" w:line="240" w:lineRule="auto"/>
      <w:ind w:firstLine="709"/>
      <w:jc w:val="both"/>
    </w:pPr>
    <w:rPr>
      <w:rFonts w:ascii="Times New Roman" w:eastAsia="Times New Roman" w:hAnsi="Times New Roman" w:cs="Times New Roman"/>
      <w:sz w:val="24"/>
      <w:szCs w:val="24"/>
    </w:rPr>
  </w:style>
  <w:style w:type="paragraph" w:customStyle="1" w:styleId="ConsNormal">
    <w:name w:val="ConsNormal"/>
    <w:autoRedefine/>
    <w:qFormat/>
    <w:rsid w:val="003D494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10">
    <w:name w:val="Название11"/>
    <w:basedOn w:val="a"/>
    <w:link w:val="affa"/>
    <w:autoRedefine/>
    <w:qFormat/>
    <w:rsid w:val="003D4946"/>
    <w:pPr>
      <w:spacing w:after="0" w:line="240" w:lineRule="auto"/>
      <w:jc w:val="center"/>
    </w:pPr>
    <w:rPr>
      <w:rFonts w:ascii="Times New Roman" w:eastAsia="Times New Roman" w:hAnsi="Times New Roman" w:cs="Times New Roman"/>
      <w:b/>
      <w:bCs/>
      <w:sz w:val="24"/>
      <w:szCs w:val="24"/>
    </w:rPr>
  </w:style>
  <w:style w:type="character" w:customStyle="1" w:styleId="affa">
    <w:name w:val="Название Знак"/>
    <w:basedOn w:val="a0"/>
    <w:link w:val="110"/>
    <w:autoRedefine/>
    <w:qFormat/>
    <w:rsid w:val="003D4946"/>
    <w:rPr>
      <w:rFonts w:ascii="Times New Roman" w:eastAsia="Times New Roman" w:hAnsi="Times New Roman" w:cs="Times New Roman"/>
      <w:b/>
      <w:bCs/>
      <w:sz w:val="24"/>
      <w:szCs w:val="24"/>
    </w:rPr>
  </w:style>
  <w:style w:type="paragraph" w:customStyle="1" w:styleId="Normal">
    <w:name w:val="Normal Знак Знак Знак Знак Знак"/>
    <w:link w:val="Normal0"/>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0">
    <w:name w:val="Normal Знак Знак Знак Знак Знак Знак"/>
    <w:basedOn w:val="a0"/>
    <w:link w:val="Normal"/>
    <w:autoRedefine/>
    <w:qFormat/>
    <w:rsid w:val="003D4946"/>
    <w:rPr>
      <w:rFonts w:ascii="Times New Roman" w:eastAsia="Times New Roman" w:hAnsi="Times New Roman" w:cs="Times New Roman"/>
      <w:snapToGrid w:val="0"/>
      <w:sz w:val="24"/>
      <w:szCs w:val="24"/>
    </w:rPr>
  </w:style>
  <w:style w:type="paragraph" w:customStyle="1" w:styleId="12">
    <w:name w:val="Основной текст1"/>
    <w:basedOn w:val="a"/>
    <w:autoRedefine/>
    <w:qFormat/>
    <w:rsid w:val="003D4946"/>
    <w:pPr>
      <w:spacing w:before="60" w:after="60" w:line="240" w:lineRule="auto"/>
      <w:ind w:firstLine="567"/>
      <w:jc w:val="both"/>
    </w:pPr>
    <w:rPr>
      <w:rFonts w:ascii="Arial" w:eastAsia="Times New Roman" w:hAnsi="Arial" w:cs="Times New Roman"/>
      <w:szCs w:val="20"/>
      <w:lang w:val="en-US"/>
    </w:rPr>
  </w:style>
  <w:style w:type="paragraph" w:customStyle="1" w:styleId="Normal1">
    <w:name w:val="Normal Знак Знак"/>
    <w:autoRedefine/>
    <w:qFormat/>
    <w:rsid w:val="003D4946"/>
    <w:pPr>
      <w:snapToGrid w:val="0"/>
      <w:spacing w:before="100" w:after="100" w:line="240" w:lineRule="auto"/>
      <w:jc w:val="both"/>
    </w:pPr>
    <w:rPr>
      <w:rFonts w:ascii="Times New Roman" w:eastAsia="Times New Roman" w:hAnsi="Times New Roman" w:cs="Times New Roman"/>
      <w:sz w:val="24"/>
      <w:szCs w:val="20"/>
    </w:rPr>
  </w:style>
  <w:style w:type="paragraph" w:customStyle="1" w:styleId="pcss">
    <w:name w:val="pcss"/>
    <w:basedOn w:val="a"/>
    <w:autoRedefine/>
    <w:qFormat/>
    <w:rsid w:val="003D4946"/>
    <w:pPr>
      <w:spacing w:before="100" w:beforeAutospacing="1" w:after="100" w:afterAutospacing="1" w:line="240" w:lineRule="auto"/>
      <w:ind w:firstLine="720"/>
    </w:pPr>
    <w:rPr>
      <w:rFonts w:ascii="Verdana" w:eastAsia="Times New Roman" w:hAnsi="Verdana" w:cs="Times New Roman"/>
      <w:sz w:val="18"/>
      <w:szCs w:val="18"/>
    </w:rPr>
  </w:style>
  <w:style w:type="paragraph" w:customStyle="1" w:styleId="ConsPlusNormal">
    <w:name w:val="ConsPlusNormal"/>
    <w:autoRedefine/>
    <w:qFormat/>
    <w:rsid w:val="003D494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Iauiue">
    <w:name w:val="Iau?iue"/>
    <w:autoRedefine/>
    <w:qFormat/>
    <w:rsid w:val="003D494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ormal2">
    <w:name w:val="Normal Знак"/>
    <w:link w:val="Normal10"/>
    <w:autoRedefine/>
    <w:qFormat/>
    <w:rsid w:val="003D4946"/>
    <w:pPr>
      <w:spacing w:after="0" w:line="240" w:lineRule="auto"/>
    </w:pPr>
    <w:rPr>
      <w:rFonts w:ascii="Times New Roman" w:eastAsia="Times New Roman" w:hAnsi="Times New Roman" w:cs="Times New Roman"/>
      <w:szCs w:val="24"/>
    </w:rPr>
  </w:style>
  <w:style w:type="character" w:customStyle="1" w:styleId="Normal10">
    <w:name w:val="Normal Знак Знак1"/>
    <w:basedOn w:val="a0"/>
    <w:link w:val="Normal2"/>
    <w:autoRedefine/>
    <w:qFormat/>
    <w:rsid w:val="003D4946"/>
    <w:rPr>
      <w:rFonts w:ascii="Times New Roman" w:eastAsia="Times New Roman" w:hAnsi="Times New Roman" w:cs="Times New Roman"/>
      <w:szCs w:val="24"/>
    </w:rPr>
  </w:style>
  <w:style w:type="paragraph" w:customStyle="1" w:styleId="120">
    <w:name w:val="Стиль 12 пт"/>
    <w:basedOn w:val="a"/>
    <w:autoRedefine/>
    <w:qFormat/>
    <w:rsid w:val="003D4946"/>
    <w:pPr>
      <w:spacing w:before="120" w:after="0" w:line="240" w:lineRule="auto"/>
      <w:ind w:firstLine="709"/>
      <w:jc w:val="both"/>
    </w:pPr>
    <w:rPr>
      <w:rFonts w:ascii="Times New Roman" w:eastAsia="Times New Roman" w:hAnsi="Times New Roman" w:cs="Times New Roman"/>
      <w:sz w:val="26"/>
      <w:szCs w:val="24"/>
    </w:rPr>
  </w:style>
  <w:style w:type="paragraph" w:customStyle="1" w:styleId="affb">
    <w:name w:val="список"/>
    <w:basedOn w:val="a"/>
    <w:autoRedefine/>
    <w:qFormat/>
    <w:rsid w:val="003D4946"/>
    <w:pPr>
      <w:tabs>
        <w:tab w:val="left" w:pos="360"/>
        <w:tab w:val="left" w:pos="2410"/>
      </w:tabs>
      <w:spacing w:after="0" w:line="240" w:lineRule="auto"/>
      <w:jc w:val="both"/>
    </w:pPr>
    <w:rPr>
      <w:rFonts w:ascii="Times New Roman" w:eastAsia="Times New Roman" w:hAnsi="Times New Roman" w:cs="Times New Roman"/>
    </w:rPr>
  </w:style>
  <w:style w:type="paragraph" w:customStyle="1" w:styleId="affc">
    <w:name w:val="Названия таблиц Знак"/>
    <w:basedOn w:val="a"/>
    <w:link w:val="affd"/>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character" w:customStyle="1" w:styleId="affd">
    <w:name w:val="Названия таблиц Знак Знак"/>
    <w:basedOn w:val="a0"/>
    <w:link w:val="affc"/>
    <w:autoRedefine/>
    <w:qFormat/>
    <w:rsid w:val="003D4946"/>
    <w:rPr>
      <w:rFonts w:ascii="Bookman Old Style" w:eastAsia="Times New Roman" w:hAnsi="Bookman Old Style" w:cs="Times New Roman"/>
      <w:b/>
      <w:color w:val="000000"/>
      <w:sz w:val="24"/>
      <w:szCs w:val="24"/>
    </w:rPr>
  </w:style>
  <w:style w:type="paragraph" w:customStyle="1" w:styleId="affe">
    <w:name w:val="Заголовок_таблицы"/>
    <w:basedOn w:val="a"/>
    <w:autoRedefine/>
    <w:qFormat/>
    <w:rsid w:val="003D4946"/>
    <w:pPr>
      <w:spacing w:after="0" w:line="240" w:lineRule="auto"/>
      <w:jc w:val="center"/>
    </w:pPr>
    <w:rPr>
      <w:rFonts w:ascii="Arial" w:eastAsia="Times New Roman" w:hAnsi="Arial" w:cs="Times New Roman"/>
      <w:b/>
      <w:i/>
      <w:sz w:val="18"/>
    </w:rPr>
  </w:style>
  <w:style w:type="paragraph" w:customStyle="1" w:styleId="Normal3">
    <w:name w:val="Normal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afff">
    <w:name w:val="Текст акта"/>
    <w:autoRedefine/>
    <w:qFormat/>
    <w:rsid w:val="003D4946"/>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Normal4">
    <w:name w:val="Стиль Normal + полужирный"/>
    <w:basedOn w:val="a"/>
    <w:autoRedefine/>
    <w:qFormat/>
    <w:rsid w:val="003D4946"/>
    <w:pPr>
      <w:spacing w:after="0" w:line="240" w:lineRule="auto"/>
      <w:ind w:left="-113" w:right="-113"/>
      <w:jc w:val="center"/>
    </w:pPr>
    <w:rPr>
      <w:rFonts w:ascii="Times New Roman" w:eastAsia="Times New Roman" w:hAnsi="Times New Roman" w:cs="Times New Roman"/>
      <w:b/>
      <w:bCs/>
      <w:sz w:val="20"/>
      <w:szCs w:val="20"/>
    </w:rPr>
  </w:style>
  <w:style w:type="paragraph" w:customStyle="1" w:styleId="xl24">
    <w:name w:val="xl24"/>
    <w:basedOn w:val="a"/>
    <w:autoRedefine/>
    <w:qFormat/>
    <w:rsid w:val="003D4946"/>
    <w:pPr>
      <w:spacing w:after="0" w:line="240" w:lineRule="auto"/>
      <w:jc w:val="center"/>
    </w:pPr>
    <w:rPr>
      <w:rFonts w:ascii="Times New Roman" w:eastAsia="Times New Roman" w:hAnsi="Times New Roman" w:cs="Times New Roman"/>
      <w:sz w:val="24"/>
      <w:szCs w:val="24"/>
    </w:rPr>
  </w:style>
  <w:style w:type="paragraph" w:customStyle="1" w:styleId="xl25">
    <w:name w:val="xl25"/>
    <w:basedOn w:val="a"/>
    <w:autoRedefine/>
    <w:qFormat/>
    <w:rsid w:val="003D494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autoRedefine/>
    <w:qFormat/>
    <w:rsid w:val="003D494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
    <w:name w:val="style1"/>
    <w:basedOn w:val="a"/>
    <w:autoRedefine/>
    <w:qFormat/>
    <w:rsid w:val="003D4946"/>
    <w:pPr>
      <w:spacing w:before="100" w:beforeAutospacing="1" w:after="100" w:afterAutospacing="1" w:line="240" w:lineRule="auto"/>
    </w:pPr>
    <w:rPr>
      <w:rFonts w:ascii="Arial" w:eastAsia="Times New Roman" w:hAnsi="Arial" w:cs="Arial"/>
      <w:sz w:val="24"/>
      <w:szCs w:val="24"/>
    </w:rPr>
  </w:style>
  <w:style w:type="paragraph" w:customStyle="1" w:styleId="textn">
    <w:name w:val="textn"/>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1">
    <w:name w:val="Стиль 12 пт Знак Знак Знак"/>
    <w:basedOn w:val="a"/>
    <w:link w:val="122"/>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character" w:customStyle="1" w:styleId="122">
    <w:name w:val="Стиль 12 пт Знак Знак Знак Знак"/>
    <w:basedOn w:val="a0"/>
    <w:link w:val="121"/>
    <w:autoRedefine/>
    <w:qFormat/>
    <w:rsid w:val="003D4946"/>
    <w:rPr>
      <w:rFonts w:ascii="Times New Roman" w:eastAsia="Times New Roman" w:hAnsi="Times New Roman" w:cs="Times New Roman"/>
      <w:color w:val="000000"/>
      <w:sz w:val="26"/>
      <w:szCs w:val="24"/>
    </w:rPr>
  </w:style>
  <w:style w:type="paragraph" w:customStyle="1" w:styleId="afff0">
    <w:name w:val="Текст письма"/>
    <w:basedOn w:val="a"/>
    <w:autoRedefine/>
    <w:qFormat/>
    <w:rsid w:val="003D4946"/>
    <w:pPr>
      <w:spacing w:after="0" w:line="360" w:lineRule="exact"/>
      <w:ind w:firstLine="709"/>
      <w:jc w:val="both"/>
    </w:pPr>
    <w:rPr>
      <w:rFonts w:ascii="Times New Roman" w:eastAsia="Times New Roman" w:hAnsi="Times New Roman" w:cs="Times New Roman"/>
      <w:sz w:val="28"/>
      <w:szCs w:val="24"/>
    </w:rPr>
  </w:style>
  <w:style w:type="paragraph" w:customStyle="1" w:styleId="afff1">
    <w:name w:val="заполнение таблиц"/>
    <w:basedOn w:val="a"/>
    <w:autoRedefine/>
    <w:qFormat/>
    <w:rsid w:val="003D4946"/>
    <w:pPr>
      <w:spacing w:after="0" w:line="240" w:lineRule="auto"/>
    </w:pPr>
    <w:rPr>
      <w:rFonts w:ascii="Arial" w:eastAsia="Times New Roman" w:hAnsi="Arial" w:cs="Times New Roman"/>
      <w:sz w:val="18"/>
    </w:rPr>
  </w:style>
  <w:style w:type="paragraph" w:customStyle="1" w:styleId="13">
    <w:name w:val="Стиль1"/>
    <w:basedOn w:val="afc"/>
    <w:autoRedefine/>
    <w:qFormat/>
    <w:rsid w:val="003D4946"/>
    <w:pPr>
      <w:spacing w:after="0"/>
      <w:jc w:val="both"/>
    </w:pPr>
    <w:rPr>
      <w:sz w:val="26"/>
      <w:szCs w:val="20"/>
    </w:rPr>
  </w:style>
  <w:style w:type="paragraph" w:customStyle="1" w:styleId="ConsPlusNonformat">
    <w:name w:val="ConsPlu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autoRedefine/>
    <w:uiPriority w:val="99"/>
    <w:qFormat/>
    <w:rsid w:val="003D494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1">
    <w:name w:val="Стиль4 Знак Знак Знак"/>
    <w:basedOn w:val="aff0"/>
    <w:link w:val="42"/>
    <w:autoRedefine/>
    <w:qFormat/>
    <w:rsid w:val="003D4946"/>
    <w:pPr>
      <w:ind w:left="0" w:firstLine="708"/>
      <w:jc w:val="both"/>
    </w:pPr>
    <w:rPr>
      <w:i w:val="0"/>
      <w:sz w:val="24"/>
      <w:szCs w:val="24"/>
    </w:rPr>
  </w:style>
  <w:style w:type="character" w:customStyle="1" w:styleId="42">
    <w:name w:val="Стиль4 Знак Знак Знак Знак"/>
    <w:basedOn w:val="a0"/>
    <w:link w:val="41"/>
    <w:autoRedefine/>
    <w:qFormat/>
    <w:locked/>
    <w:rsid w:val="003D4946"/>
    <w:rPr>
      <w:rFonts w:ascii="Times New Roman" w:eastAsia="Times New Roman" w:hAnsi="Times New Roman" w:cs="Times New Roman"/>
      <w:sz w:val="24"/>
      <w:szCs w:val="24"/>
    </w:rPr>
  </w:style>
  <w:style w:type="paragraph" w:customStyle="1" w:styleId="Normal5">
    <w:name w:val="Normal Знак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14">
    <w:name w:val="Обычный1"/>
    <w:autoRedefine/>
    <w:qFormat/>
    <w:rsid w:val="003D4946"/>
    <w:pPr>
      <w:spacing w:after="0" w:line="240" w:lineRule="auto"/>
    </w:pPr>
    <w:rPr>
      <w:rFonts w:ascii="Times New Roman" w:eastAsia="Times New Roman" w:hAnsi="Times New Roman" w:cs="Times New Roman"/>
      <w:szCs w:val="24"/>
    </w:rPr>
  </w:style>
  <w:style w:type="paragraph" w:customStyle="1" w:styleId="afff2">
    <w:name w:val="Названия таблиц"/>
    <w:basedOn w:val="a"/>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paragraph" w:customStyle="1" w:styleId="123">
    <w:name w:val="Стиль 12 пт Знак Знак"/>
    <w:basedOn w:val="a"/>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paragraph" w:customStyle="1" w:styleId="43">
    <w:name w:val="Стиль4 Знак Знак"/>
    <w:basedOn w:val="aff0"/>
    <w:autoRedefine/>
    <w:qFormat/>
    <w:rsid w:val="003D4946"/>
    <w:pPr>
      <w:ind w:left="0" w:firstLine="708"/>
      <w:jc w:val="both"/>
    </w:pPr>
    <w:rPr>
      <w:i w:val="0"/>
      <w:sz w:val="24"/>
      <w:szCs w:val="24"/>
    </w:rPr>
  </w:style>
  <w:style w:type="paragraph" w:customStyle="1" w:styleId="44">
    <w:name w:val="Стиль4"/>
    <w:basedOn w:val="aff0"/>
    <w:autoRedefine/>
    <w:qFormat/>
    <w:rsid w:val="003D4946"/>
    <w:pPr>
      <w:ind w:left="0" w:firstLine="708"/>
      <w:jc w:val="both"/>
    </w:pPr>
    <w:rPr>
      <w:i w:val="0"/>
      <w:sz w:val="24"/>
      <w:szCs w:val="24"/>
    </w:rPr>
  </w:style>
  <w:style w:type="paragraph" w:styleId="afff3">
    <w:name w:val="List Paragraph"/>
    <w:basedOn w:val="a"/>
    <w:link w:val="afff4"/>
    <w:autoRedefine/>
    <w:qFormat/>
    <w:rsid w:val="003D4946"/>
    <w:pPr>
      <w:spacing w:after="0" w:line="240" w:lineRule="auto"/>
      <w:ind w:firstLine="851"/>
      <w:contextualSpacing/>
      <w:jc w:val="both"/>
    </w:pPr>
    <w:rPr>
      <w:rFonts w:ascii="Calibri" w:eastAsia="Calibri" w:hAnsi="Calibri" w:cs="Times New Roman"/>
      <w:lang w:eastAsia="en-US"/>
    </w:rPr>
  </w:style>
  <w:style w:type="character" w:customStyle="1" w:styleId="afff4">
    <w:name w:val="Абзац списка Знак"/>
    <w:link w:val="afff3"/>
    <w:qFormat/>
    <w:locked/>
    <w:rsid w:val="003D4946"/>
    <w:rPr>
      <w:rFonts w:ascii="Calibri" w:eastAsia="Calibri" w:hAnsi="Calibri" w:cs="Times New Roman"/>
      <w:lang w:eastAsia="en-US"/>
    </w:rPr>
  </w:style>
  <w:style w:type="paragraph" w:customStyle="1" w:styleId="afff5">
    <w:name w:val="Знак Знак Знак Знак Знак Знак Знак Знак Знак 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6">
    <w:name w:val="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ConsPlusTitle">
    <w:name w:val="ConsPlusTitle"/>
    <w:autoRedefine/>
    <w:uiPriority w:val="99"/>
    <w:qFormat/>
    <w:rsid w:val="003D4946"/>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fff7">
    <w:name w:val="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5">
    <w:name w:val="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45">
    <w:name w:val="Стиль4 Знак"/>
    <w:basedOn w:val="aff0"/>
    <w:autoRedefine/>
    <w:qFormat/>
    <w:rsid w:val="003D4946"/>
    <w:pPr>
      <w:ind w:left="0" w:firstLine="708"/>
      <w:jc w:val="both"/>
    </w:pPr>
    <w:rPr>
      <w:i w:val="0"/>
      <w:sz w:val="24"/>
      <w:szCs w:val="24"/>
    </w:rPr>
  </w:style>
  <w:style w:type="character" w:customStyle="1" w:styleId="afff8">
    <w:name w:val="Символ сноски"/>
    <w:basedOn w:val="a0"/>
    <w:autoRedefine/>
    <w:qFormat/>
    <w:rsid w:val="003D4946"/>
    <w:rPr>
      <w:vertAlign w:val="superscript"/>
    </w:rPr>
  </w:style>
  <w:style w:type="paragraph" w:customStyle="1" w:styleId="text">
    <w:name w:val="text"/>
    <w:basedOn w:val="a"/>
    <w:autoRedefine/>
    <w:qFormat/>
    <w:rsid w:val="003D4946"/>
    <w:pPr>
      <w:spacing w:after="0" w:line="240" w:lineRule="auto"/>
      <w:ind w:left="105" w:right="105" w:firstLine="397"/>
      <w:jc w:val="both"/>
    </w:pPr>
    <w:rPr>
      <w:rFonts w:ascii="Trebuchet MS" w:eastAsia="Times New Roman" w:hAnsi="Trebuchet MS" w:cs="Times New Roman"/>
      <w:sz w:val="24"/>
      <w:szCs w:val="24"/>
    </w:rPr>
  </w:style>
  <w:style w:type="paragraph" w:customStyle="1" w:styleId="310">
    <w:name w:val="Основной текст с отступом 31"/>
    <w:basedOn w:val="a"/>
    <w:autoRedefine/>
    <w:qFormat/>
    <w:rsid w:val="003D494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Знак Знак Знак Знак Знак Знак 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71">
    <w:name w:val="7."/>
    <w:autoRedefine/>
    <w:qFormat/>
    <w:rsid w:val="003D4946"/>
    <w:pPr>
      <w:widowControl w:val="0"/>
      <w:spacing w:before="20" w:after="0" w:line="240" w:lineRule="auto"/>
      <w:jc w:val="center"/>
    </w:pPr>
    <w:rPr>
      <w:rFonts w:ascii="Times New Roman" w:eastAsia="Times New Roman" w:hAnsi="Times New Roman" w:cs="Times New Roman"/>
      <w:b/>
      <w:szCs w:val="20"/>
    </w:rPr>
  </w:style>
  <w:style w:type="paragraph" w:customStyle="1" w:styleId="17">
    <w:name w:val="Знак1"/>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Знак Знак Знак1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6">
    <w:name w:val="Знак Знак Знак Знак Знак Знак2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19">
    <w:name w:val="Знак Знак Знак Знак Знак Знак1"/>
    <w:basedOn w:val="a0"/>
    <w:autoRedefine/>
    <w:qFormat/>
    <w:rsid w:val="003D4946"/>
    <w:rPr>
      <w:sz w:val="24"/>
      <w:szCs w:val="24"/>
      <w:lang w:val="ru-RU" w:eastAsia="ru-RU" w:bidi="ar-SA"/>
    </w:rPr>
  </w:style>
  <w:style w:type="paragraph" w:customStyle="1" w:styleId="36">
    <w:name w:val="Знак3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a">
    <w:name w:val="Знак Знак Знак Знак1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afff9">
    <w:name w:val="Знак Знак Знак Знак Знак Знак Знак Знак Знак Знак Знак Знак Знак Знак"/>
    <w:basedOn w:val="a0"/>
    <w:autoRedefine/>
    <w:qFormat/>
    <w:rsid w:val="003D4946"/>
    <w:rPr>
      <w:sz w:val="24"/>
      <w:szCs w:val="24"/>
      <w:lang w:val="ru-RU" w:eastAsia="ru-RU" w:bidi="ar-SA"/>
    </w:rPr>
  </w:style>
  <w:style w:type="paragraph" w:customStyle="1" w:styleId="afffa">
    <w:name w:val="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7">
    <w:name w:val="Знак Знак Знак Знак Знак Знак2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8">
    <w:name w:val="Знак Знак Знак2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b">
    <w:name w:val="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10">
    <w:name w:val="Основной текст 21"/>
    <w:basedOn w:val="a"/>
    <w:autoRedefine/>
    <w:qFormat/>
    <w:rsid w:val="003D4946"/>
    <w:pPr>
      <w:widowControl w:val="0"/>
      <w:suppressAutoHyphens/>
      <w:spacing w:after="120" w:line="480" w:lineRule="auto"/>
      <w:jc w:val="both"/>
      <w:textAlignment w:val="baseline"/>
    </w:pPr>
    <w:rPr>
      <w:rFonts w:ascii="Times New Roman" w:eastAsia="Times New Roman" w:hAnsi="Times New Roman" w:cs="Times New Roman"/>
      <w:sz w:val="20"/>
      <w:szCs w:val="20"/>
      <w:lang w:eastAsia="ar-SA"/>
    </w:rPr>
  </w:style>
  <w:style w:type="character" w:customStyle="1" w:styleId="apple-style-span">
    <w:name w:val="apple-style-span"/>
    <w:basedOn w:val="a0"/>
    <w:autoRedefine/>
    <w:qFormat/>
    <w:rsid w:val="003D4946"/>
  </w:style>
  <w:style w:type="paragraph" w:customStyle="1" w:styleId="afffc">
    <w:name w:val="Содержимое таблицы"/>
    <w:basedOn w:val="a"/>
    <w:autoRedefine/>
    <w:qFormat/>
    <w:rsid w:val="003D4946"/>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apple-converted-space">
    <w:name w:val="apple-converted-space"/>
    <w:basedOn w:val="a0"/>
    <w:autoRedefine/>
    <w:qFormat/>
    <w:rsid w:val="003D4946"/>
  </w:style>
  <w:style w:type="paragraph" w:customStyle="1" w:styleId="1b">
    <w:name w:val="Обычный (веб)1"/>
    <w:basedOn w:val="a"/>
    <w:autoRedefine/>
    <w:qFormat/>
    <w:rsid w:val="003D4946"/>
    <w:pPr>
      <w:spacing w:after="225" w:line="336" w:lineRule="atLeast"/>
    </w:pPr>
    <w:rPr>
      <w:rFonts w:ascii="Times New Roman" w:eastAsia="Times New Roman" w:hAnsi="Times New Roman" w:cs="Times New Roman"/>
      <w:sz w:val="24"/>
      <w:szCs w:val="24"/>
    </w:rPr>
  </w:style>
  <w:style w:type="paragraph" w:customStyle="1" w:styleId="msonormalcxspmiddle">
    <w:name w:val="msonormalcxspmiddle"/>
    <w:basedOn w:val="a"/>
    <w:link w:val="msonormalcxspmiddleChar"/>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normalcxspmiddleChar">
    <w:name w:val="msonormalcxspmiddle Char"/>
    <w:link w:val="msonormalcxspmiddle"/>
    <w:autoRedefine/>
    <w:qFormat/>
    <w:rsid w:val="003D4946"/>
    <w:rPr>
      <w:rFonts w:ascii="Times New Roman" w:eastAsia="Times New Roman" w:hAnsi="Times New Roman" w:cs="Times New Roman"/>
      <w:sz w:val="24"/>
      <w:szCs w:val="24"/>
    </w:rPr>
  </w:style>
  <w:style w:type="paragraph" w:customStyle="1" w:styleId="msonormalcxspmiddlecxsplast">
    <w:name w:val="msonormalcxspmiddlecxsplast"/>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нак Знак Знак2 Знак Знак Знак Знак Знак Знак Знак1"/>
    <w:basedOn w:val="a"/>
    <w:autoRedefine/>
    <w:qFormat/>
    <w:rsid w:val="003D4946"/>
    <w:pPr>
      <w:suppressAutoHyphens/>
      <w:spacing w:before="100" w:after="100" w:line="240" w:lineRule="auto"/>
    </w:pPr>
    <w:rPr>
      <w:rFonts w:ascii="Verdana" w:eastAsia="Times New Roman" w:hAnsi="Verdana" w:cs="Verdana"/>
      <w:sz w:val="20"/>
      <w:szCs w:val="20"/>
      <w:lang w:val="en-US" w:eastAsia="en-US"/>
    </w:rPr>
  </w:style>
  <w:style w:type="paragraph" w:customStyle="1" w:styleId="afffd">
    <w:name w:val="Знак Знак Знак Знак Знак Знак Знак Знак Знак Знак Знак Знак 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e">
    <w:name w:val="Абзац"/>
    <w:basedOn w:val="a"/>
    <w:link w:val="affff"/>
    <w:autoRedefine/>
    <w:qFormat/>
    <w:rsid w:val="003D4946"/>
    <w:pPr>
      <w:spacing w:before="6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basedOn w:val="a0"/>
    <w:link w:val="afffe"/>
    <w:autoRedefine/>
    <w:qFormat/>
    <w:rsid w:val="003D4946"/>
    <w:rPr>
      <w:rFonts w:ascii="Times New Roman" w:eastAsia="Times New Roman" w:hAnsi="Times New Roman" w:cs="Times New Roman"/>
      <w:sz w:val="24"/>
      <w:szCs w:val="24"/>
    </w:rPr>
  </w:style>
  <w:style w:type="paragraph" w:customStyle="1" w:styleId="29">
    <w:name w:val="Список_маркерный_2_уровень"/>
    <w:basedOn w:val="aff3"/>
    <w:link w:val="2a"/>
    <w:autoRedefine/>
    <w:qFormat/>
    <w:rsid w:val="003D4946"/>
    <w:pPr>
      <w:widowControl/>
      <w:suppressAutoHyphens w:val="0"/>
      <w:autoSpaceDE/>
      <w:spacing w:before="0" w:after="60"/>
      <w:ind w:left="737" w:firstLine="57"/>
    </w:pPr>
    <w:rPr>
      <w:snapToGrid w:val="0"/>
      <w:sz w:val="24"/>
      <w:szCs w:val="24"/>
      <w:lang w:eastAsia="ru-RU"/>
    </w:rPr>
  </w:style>
  <w:style w:type="character" w:customStyle="1" w:styleId="2a">
    <w:name w:val="Список_маркерный_2_уровень Знак"/>
    <w:basedOn w:val="a0"/>
    <w:link w:val="29"/>
    <w:autoRedefine/>
    <w:qFormat/>
    <w:rsid w:val="003D4946"/>
    <w:rPr>
      <w:rFonts w:ascii="Times New Roman" w:eastAsia="Times New Roman" w:hAnsi="Times New Roman" w:cs="Times New Roman"/>
      <w:snapToGrid w:val="0"/>
      <w:sz w:val="24"/>
      <w:szCs w:val="24"/>
    </w:rPr>
  </w:style>
  <w:style w:type="paragraph" w:customStyle="1" w:styleId="1c">
    <w:name w:val="Список_маркерный_1_уровень"/>
    <w:basedOn w:val="29"/>
    <w:link w:val="1d"/>
    <w:autoRedefine/>
    <w:qFormat/>
    <w:rsid w:val="003D4946"/>
    <w:pPr>
      <w:ind w:left="360" w:hanging="397"/>
    </w:pPr>
  </w:style>
  <w:style w:type="character" w:customStyle="1" w:styleId="1d">
    <w:name w:val="Список_маркерный_1_уровень Знак"/>
    <w:basedOn w:val="a0"/>
    <w:link w:val="1c"/>
    <w:autoRedefine/>
    <w:qFormat/>
    <w:rsid w:val="003D4946"/>
    <w:rPr>
      <w:rFonts w:ascii="Times New Roman" w:eastAsia="Times New Roman" w:hAnsi="Times New Roman" w:cs="Times New Roman"/>
      <w:snapToGrid w:val="0"/>
      <w:sz w:val="24"/>
      <w:szCs w:val="24"/>
    </w:rPr>
  </w:style>
  <w:style w:type="paragraph" w:customStyle="1" w:styleId="2b">
    <w:name w:val="Список_маркер_2ур"/>
    <w:basedOn w:val="1c"/>
    <w:autoRedefine/>
    <w:qFormat/>
    <w:locked/>
    <w:rsid w:val="003D4946"/>
    <w:pPr>
      <w:numPr>
        <w:ilvl w:val="2"/>
      </w:numPr>
      <w:tabs>
        <w:tab w:val="left" w:pos="1800"/>
      </w:tabs>
      <w:ind w:left="1800" w:hanging="360"/>
    </w:pPr>
  </w:style>
  <w:style w:type="paragraph" w:customStyle="1" w:styleId="111">
    <w:name w:val="Табличный_боковик_11"/>
    <w:basedOn w:val="a"/>
    <w:link w:val="112"/>
    <w:autoRedefine/>
    <w:qFormat/>
    <w:rsid w:val="003D4946"/>
    <w:pPr>
      <w:spacing w:after="0" w:line="240" w:lineRule="auto"/>
    </w:pPr>
    <w:rPr>
      <w:rFonts w:ascii="Times New Roman" w:eastAsia="Times New Roman" w:hAnsi="Times New Roman" w:cs="Times New Roman"/>
      <w:szCs w:val="24"/>
    </w:rPr>
  </w:style>
  <w:style w:type="character" w:customStyle="1" w:styleId="112">
    <w:name w:val="Табличный_боковик_11 Знак"/>
    <w:basedOn w:val="a0"/>
    <w:link w:val="111"/>
    <w:autoRedefine/>
    <w:qFormat/>
    <w:rsid w:val="003D4946"/>
    <w:rPr>
      <w:rFonts w:ascii="Times New Roman" w:eastAsia="Times New Roman" w:hAnsi="Times New Roman" w:cs="Times New Roman"/>
      <w:szCs w:val="24"/>
    </w:rPr>
  </w:style>
  <w:style w:type="paragraph" w:customStyle="1" w:styleId="37">
    <w:name w:val="Заголовок_подзаголовок_3"/>
    <w:basedOn w:val="a"/>
    <w:next w:val="afffe"/>
    <w:link w:val="38"/>
    <w:autoRedefine/>
    <w:qFormat/>
    <w:rsid w:val="003D4946"/>
    <w:pPr>
      <w:keepNext/>
      <w:keepLines/>
      <w:spacing w:before="60" w:after="60" w:line="240" w:lineRule="auto"/>
      <w:ind w:left="567" w:right="567"/>
      <w:jc w:val="both"/>
    </w:pPr>
    <w:rPr>
      <w:rFonts w:ascii="Times New Roman" w:eastAsia="Times New Roman" w:hAnsi="Times New Roman" w:cs="Times New Roman"/>
      <w:bCs/>
      <w:sz w:val="24"/>
      <w:szCs w:val="24"/>
      <w:u w:val="single"/>
    </w:rPr>
  </w:style>
  <w:style w:type="character" w:customStyle="1" w:styleId="38">
    <w:name w:val="Заголовок_подзаголовок_3 Знак"/>
    <w:basedOn w:val="a0"/>
    <w:link w:val="37"/>
    <w:autoRedefine/>
    <w:qFormat/>
    <w:rsid w:val="003D4946"/>
    <w:rPr>
      <w:rFonts w:ascii="Times New Roman" w:eastAsia="Times New Roman" w:hAnsi="Times New Roman" w:cs="Times New Roman"/>
      <w:bCs/>
      <w:sz w:val="24"/>
      <w:szCs w:val="24"/>
      <w:u w:val="single"/>
    </w:rPr>
  </w:style>
  <w:style w:type="paragraph" w:customStyle="1" w:styleId="enko">
    <w:name w:val="enko_Таблицы_простой"/>
    <w:basedOn w:val="a"/>
    <w:autoRedefine/>
    <w:qFormat/>
    <w:rsid w:val="003D4946"/>
    <w:pPr>
      <w:snapToGrid w:val="0"/>
      <w:spacing w:after="0" w:line="240" w:lineRule="auto"/>
    </w:pPr>
    <w:rPr>
      <w:rFonts w:ascii="Bookman Old Style" w:eastAsia="Times New Roman" w:hAnsi="Bookman Old Style" w:cs="Times New Roman"/>
      <w:szCs w:val="20"/>
    </w:rPr>
  </w:style>
  <w:style w:type="paragraph" w:customStyle="1" w:styleId="1e">
    <w:name w:val="Название1"/>
    <w:basedOn w:val="a"/>
    <w:autoRedefine/>
    <w:qFormat/>
    <w:rsid w:val="003D4946"/>
    <w:pPr>
      <w:suppressLineNumbers/>
      <w:suppressAutoHyphens/>
      <w:spacing w:before="120" w:after="120" w:line="240" w:lineRule="auto"/>
    </w:pPr>
    <w:rPr>
      <w:rFonts w:ascii="Arial" w:eastAsia="Times New Roman" w:hAnsi="Arial" w:cs="Tahoma"/>
      <w:i/>
      <w:iCs/>
      <w:kern w:val="1"/>
      <w:sz w:val="20"/>
      <w:szCs w:val="24"/>
      <w:lang w:eastAsia="ar-SA"/>
    </w:rPr>
  </w:style>
  <w:style w:type="paragraph" w:customStyle="1" w:styleId="ConsPlusDocList">
    <w:name w:val="ConsPlusDocList"/>
    <w:autoRedefine/>
    <w:uiPriority w:val="99"/>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ff0">
    <w:name w:val="Текст_Жирный"/>
    <w:basedOn w:val="a0"/>
    <w:autoRedefine/>
    <w:uiPriority w:val="1"/>
    <w:qFormat/>
    <w:rsid w:val="003D4946"/>
    <w:rPr>
      <w:rFonts w:ascii="Times New Roman" w:hAnsi="Times New Roman"/>
      <w:b/>
    </w:rPr>
  </w:style>
  <w:style w:type="paragraph" w:customStyle="1" w:styleId="2c">
    <w:name w:val="Знак Знак Знак Знак Знак Знак Знак Знак Знак Знак2"/>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f1">
    <w:name w:val="Титул_адрес_организации"/>
    <w:autoRedefine/>
    <w:qFormat/>
    <w:rsid w:val="003D4946"/>
    <w:pPr>
      <w:spacing w:before="60" w:after="0" w:line="240" w:lineRule="auto"/>
      <w:jc w:val="right"/>
    </w:pPr>
    <w:rPr>
      <w:rFonts w:ascii="Times New Roman" w:eastAsia="Times New Roman" w:hAnsi="Times New Roman" w:cs="Times New Roman"/>
      <w:sz w:val="18"/>
      <w:szCs w:val="18"/>
    </w:rPr>
  </w:style>
  <w:style w:type="paragraph" w:customStyle="1" w:styleId="2d">
    <w:name w:val="Основной текст (2)"/>
    <w:basedOn w:val="a"/>
    <w:autoRedefine/>
    <w:qFormat/>
    <w:rsid w:val="003D4946"/>
    <w:pPr>
      <w:widowControl w:val="0"/>
      <w:shd w:val="clear" w:color="auto" w:fill="FFFFFF"/>
      <w:spacing w:before="240" w:after="480" w:line="0" w:lineRule="atLeast"/>
      <w:jc w:val="both"/>
    </w:pPr>
    <w:rPr>
      <w:rFonts w:ascii="Times New Roman" w:eastAsia="Times New Roman" w:hAnsi="Times New Roman" w:cs="Times New Roman"/>
      <w:sz w:val="26"/>
      <w:szCs w:val="26"/>
    </w:rPr>
  </w:style>
  <w:style w:type="paragraph" w:customStyle="1" w:styleId="2e">
    <w:name w:val="Номер заголовка №2"/>
    <w:basedOn w:val="a"/>
    <w:autoRedefine/>
    <w:qFormat/>
    <w:rsid w:val="003D4946"/>
    <w:pPr>
      <w:widowControl w:val="0"/>
      <w:shd w:val="clear" w:color="auto" w:fill="FFFFFF"/>
      <w:spacing w:after="300" w:line="0" w:lineRule="atLeast"/>
      <w:jc w:val="right"/>
      <w:outlineLvl w:val="1"/>
    </w:pPr>
    <w:rPr>
      <w:rFonts w:ascii="Times New Roman" w:eastAsia="Times New Roman" w:hAnsi="Times New Roman" w:cs="Times New Roman"/>
      <w:sz w:val="26"/>
      <w:szCs w:val="26"/>
    </w:rPr>
  </w:style>
  <w:style w:type="paragraph" w:customStyle="1" w:styleId="2f">
    <w:name w:val="Заголовок №2"/>
    <w:basedOn w:val="a"/>
    <w:autoRedefine/>
    <w:qFormat/>
    <w:rsid w:val="003D4946"/>
    <w:pPr>
      <w:widowControl w:val="0"/>
      <w:shd w:val="clear" w:color="auto" w:fill="FFFFFF"/>
      <w:spacing w:before="300" w:after="0" w:line="0" w:lineRule="atLeast"/>
      <w:jc w:val="center"/>
      <w:outlineLvl w:val="1"/>
    </w:pPr>
    <w:rPr>
      <w:rFonts w:ascii="Times New Roman" w:eastAsia="Times New Roman" w:hAnsi="Times New Roman" w:cs="Times New Roman"/>
      <w:sz w:val="26"/>
      <w:szCs w:val="26"/>
    </w:rPr>
  </w:style>
  <w:style w:type="character" w:customStyle="1" w:styleId="290">
    <w:name w:val="Основной текст (2) + 9"/>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f0">
    <w:name w:val="Основной текст (2)_"/>
    <w:basedOn w:val="a0"/>
    <w:link w:val="212"/>
    <w:autoRedefine/>
    <w:qFormat/>
    <w:rsid w:val="003D4946"/>
    <w:rPr>
      <w:rFonts w:ascii="Sylfaen" w:eastAsia="Sylfaen" w:hAnsi="Sylfaen" w:cs="Sylfaen"/>
      <w:color w:val="000000" w:themeColor="text1"/>
    </w:rPr>
  </w:style>
  <w:style w:type="paragraph" w:customStyle="1" w:styleId="212">
    <w:name w:val="Основной текст (2)1"/>
    <w:basedOn w:val="a"/>
    <w:link w:val="2f0"/>
    <w:autoRedefine/>
    <w:qFormat/>
    <w:rsid w:val="003D4946"/>
    <w:pPr>
      <w:widowControl w:val="0"/>
      <w:spacing w:after="0" w:line="240" w:lineRule="auto"/>
      <w:jc w:val="both"/>
    </w:pPr>
    <w:rPr>
      <w:rFonts w:ascii="Sylfaen" w:eastAsia="Sylfaen" w:hAnsi="Sylfaen" w:cs="Sylfaen"/>
      <w:color w:val="000000" w:themeColor="text1"/>
    </w:rPr>
  </w:style>
  <w:style w:type="paragraph" w:customStyle="1" w:styleId="240">
    <w:name w:val="Основной текст (2)4"/>
    <w:basedOn w:val="a"/>
    <w:autoRedefine/>
    <w:qFormat/>
    <w:rsid w:val="003D4946"/>
    <w:pPr>
      <w:widowControl w:val="0"/>
      <w:shd w:val="clear" w:color="auto" w:fill="FFFFFF"/>
      <w:spacing w:before="180" w:after="0" w:line="274" w:lineRule="exact"/>
      <w:ind w:hanging="2180"/>
      <w:jc w:val="center"/>
    </w:pPr>
    <w:rPr>
      <w:rFonts w:ascii="Times New Roman" w:eastAsia="Times New Roman" w:hAnsi="Times New Roman" w:cs="Times New Roman"/>
      <w:sz w:val="24"/>
      <w:szCs w:val="24"/>
    </w:rPr>
  </w:style>
  <w:style w:type="paragraph" w:customStyle="1" w:styleId="270">
    <w:name w:val="Основной текст (2)7"/>
    <w:basedOn w:val="a"/>
    <w:autoRedefine/>
    <w:qFormat/>
    <w:rsid w:val="003D4946"/>
    <w:pPr>
      <w:widowControl w:val="0"/>
      <w:shd w:val="clear" w:color="auto" w:fill="FFFFFF"/>
      <w:spacing w:before="120" w:after="0" w:line="278" w:lineRule="exact"/>
      <w:jc w:val="both"/>
    </w:pPr>
    <w:rPr>
      <w:rFonts w:ascii="Times New Roman" w:eastAsia="Times New Roman" w:hAnsi="Times New Roman" w:cs="Times New Roman"/>
      <w:sz w:val="28"/>
      <w:szCs w:val="28"/>
    </w:rPr>
  </w:style>
  <w:style w:type="character" w:customStyle="1" w:styleId="2ArialNarrow">
    <w:name w:val="Основной текст (2) + Arial Narrow"/>
    <w:basedOn w:val="2f0"/>
    <w:autoRedefine/>
    <w:qFormat/>
    <w:rsid w:val="003D4946"/>
    <w:rPr>
      <w:rFonts w:ascii="Arial Narrow" w:eastAsia="Arial Narrow" w:hAnsi="Arial Narrow" w:cs="Arial Narrow"/>
      <w:color w:val="000000"/>
      <w:spacing w:val="0"/>
      <w:w w:val="100"/>
      <w:position w:val="0"/>
      <w:sz w:val="20"/>
      <w:szCs w:val="20"/>
      <w:u w:val="none"/>
      <w:lang w:val="ru-RU" w:eastAsia="ru-RU" w:bidi="ru-RU"/>
    </w:rPr>
  </w:style>
  <w:style w:type="paragraph" w:customStyle="1" w:styleId="113">
    <w:name w:val="Основной текст11"/>
    <w:basedOn w:val="a"/>
    <w:autoRedefine/>
    <w:qFormat/>
    <w:rsid w:val="003D4946"/>
    <w:pPr>
      <w:widowControl w:val="0"/>
      <w:shd w:val="clear" w:color="auto" w:fill="FFFFFF"/>
      <w:spacing w:after="160" w:line="288" w:lineRule="auto"/>
      <w:ind w:firstLine="180"/>
    </w:pPr>
    <w:rPr>
      <w:rFonts w:ascii="Calibri" w:eastAsia="Calibri" w:hAnsi="Calibri" w:cs="Calibri"/>
      <w:sz w:val="19"/>
      <w:szCs w:val="19"/>
    </w:rPr>
  </w:style>
  <w:style w:type="paragraph" w:customStyle="1" w:styleId="affff2">
    <w:name w:val="Другое"/>
    <w:basedOn w:val="a"/>
    <w:autoRedefine/>
    <w:qFormat/>
    <w:rsid w:val="003D4946"/>
    <w:pPr>
      <w:widowControl w:val="0"/>
      <w:shd w:val="clear" w:color="auto" w:fill="FFFFFF"/>
      <w:spacing w:after="0" w:line="240" w:lineRule="auto"/>
    </w:pPr>
    <w:rPr>
      <w:rFonts w:ascii="Calibri" w:eastAsia="Calibri" w:hAnsi="Calibri" w:cs="Calibri"/>
      <w:sz w:val="19"/>
      <w:szCs w:val="19"/>
    </w:rPr>
  </w:style>
  <w:style w:type="character" w:customStyle="1" w:styleId="2110">
    <w:name w:val="Основной текст (2) + 11"/>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8pt">
    <w:name w:val="Основной текст (2) + 18 pt"/>
    <w:basedOn w:val="2f0"/>
    <w:autoRedefine/>
    <w:qFormat/>
    <w:rsid w:val="003D4946"/>
    <w:rPr>
      <w:rFonts w:ascii="Times New Roman" w:eastAsia="Times New Roman" w:hAnsi="Times New Roman" w:cs="Times New Roman"/>
      <w:color w:val="000000"/>
      <w:spacing w:val="0"/>
      <w:w w:val="100"/>
      <w:position w:val="0"/>
      <w:sz w:val="36"/>
      <w:szCs w:val="36"/>
      <w:u w:val="none"/>
      <w:lang w:val="ru-RU" w:eastAsia="ru-RU" w:bidi="ru-RU"/>
    </w:rPr>
  </w:style>
  <w:style w:type="character" w:customStyle="1" w:styleId="210pt">
    <w:name w:val="Основной текст (2) + 10 pt"/>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12pt">
    <w:name w:val="Основной текст (2) + 12 pt"/>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2pt1">
    <w:name w:val="Основной текст (2) + 12 pt1"/>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paragraph" w:customStyle="1" w:styleId="affff3">
    <w:name w:val="Подпись к таблице"/>
    <w:basedOn w:val="a"/>
    <w:autoRedefine/>
    <w:qFormat/>
    <w:rsid w:val="003D4946"/>
    <w:pPr>
      <w:widowControl w:val="0"/>
      <w:shd w:val="clear" w:color="auto" w:fill="FFFFFF"/>
      <w:spacing w:after="0" w:line="439" w:lineRule="exact"/>
      <w:jc w:val="both"/>
    </w:pPr>
    <w:rPr>
      <w:rFonts w:ascii="Times New Roman" w:eastAsia="Times New Roman" w:hAnsi="Times New Roman" w:cs="Times New Roman"/>
      <w:sz w:val="30"/>
      <w:szCs w:val="30"/>
    </w:rPr>
  </w:style>
  <w:style w:type="character" w:customStyle="1" w:styleId="210pt1">
    <w:name w:val="Основной текст (2) + 10 pt1"/>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Exact">
    <w:name w:val="Заголовок №2 Exact"/>
    <w:basedOn w:val="a0"/>
    <w:autoRedefine/>
    <w:qFormat/>
    <w:rsid w:val="003D4946"/>
    <w:rPr>
      <w:rFonts w:ascii="Times New Roman" w:eastAsia="Times New Roman" w:hAnsi="Times New Roman" w:cs="Times New Roman"/>
      <w:sz w:val="30"/>
      <w:szCs w:val="30"/>
      <w:u w:val="none"/>
    </w:rPr>
  </w:style>
  <w:style w:type="paragraph" w:customStyle="1" w:styleId="61">
    <w:name w:val="Основной текст (6)"/>
    <w:basedOn w:val="a"/>
    <w:autoRedefine/>
    <w:qFormat/>
    <w:rsid w:val="003D4946"/>
    <w:pPr>
      <w:widowControl w:val="0"/>
      <w:shd w:val="clear" w:color="auto" w:fill="FFFFFF"/>
      <w:spacing w:before="720" w:after="300" w:line="322" w:lineRule="exact"/>
      <w:jc w:val="center"/>
    </w:pPr>
    <w:rPr>
      <w:rFonts w:ascii="Times New Roman" w:eastAsia="Times New Roman" w:hAnsi="Times New Roman" w:cs="Times New Roman"/>
      <w:b/>
      <w:bCs/>
      <w:sz w:val="28"/>
      <w:szCs w:val="28"/>
    </w:rPr>
  </w:style>
  <w:style w:type="character" w:customStyle="1" w:styleId="211pt2">
    <w:name w:val="Основной текст (2) + 11 pt2"/>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1pt3">
    <w:name w:val="Основной текст (2) + 11 pt3"/>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f0"/>
    <w:autoRedefine/>
    <w:qFormat/>
    <w:rsid w:val="003D4946"/>
    <w:rPr>
      <w:rFonts w:ascii="Microsoft Sans Serif" w:eastAsia="Microsoft Sans Serif" w:hAnsi="Microsoft Sans Serif" w:cs="Microsoft Sans Serif"/>
      <w:color w:val="000000"/>
      <w:spacing w:val="0"/>
      <w:w w:val="100"/>
      <w:position w:val="0"/>
      <w:sz w:val="14"/>
      <w:szCs w:val="14"/>
      <w:u w:val="none"/>
      <w:lang w:val="ru-RU" w:eastAsia="ru-RU" w:bidi="ru-RU"/>
    </w:rPr>
  </w:style>
  <w:style w:type="paragraph" w:customStyle="1" w:styleId="1f">
    <w:name w:val="Подпись к таблице1"/>
    <w:basedOn w:val="a"/>
    <w:link w:val="affff4"/>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affff4">
    <w:name w:val="Подпись к таблице_"/>
    <w:basedOn w:val="a0"/>
    <w:link w:val="1f"/>
    <w:autoRedefine/>
    <w:qFormat/>
    <w:rsid w:val="003D4946"/>
    <w:rPr>
      <w:rFonts w:ascii="Times New Roman" w:eastAsia="Times New Roman" w:hAnsi="Times New Roman" w:cs="Times New Roman"/>
      <w:sz w:val="28"/>
      <w:szCs w:val="28"/>
      <w:shd w:val="clear" w:color="auto" w:fill="FFFFFF"/>
    </w:rPr>
  </w:style>
  <w:style w:type="character" w:customStyle="1" w:styleId="24pt">
    <w:name w:val="Основной текст (2) + 4 pt"/>
    <w:basedOn w:val="2f0"/>
    <w:autoRedefine/>
    <w:qFormat/>
    <w:rsid w:val="003D4946"/>
    <w:rPr>
      <w:rFonts w:ascii="Times New Roman" w:eastAsia="Times New Roman" w:hAnsi="Times New Roman" w:cs="Times New Roman"/>
      <w:color w:val="000000"/>
      <w:spacing w:val="0"/>
      <w:w w:val="100"/>
      <w:position w:val="0"/>
      <w:sz w:val="8"/>
      <w:szCs w:val="8"/>
      <w:u w:val="none"/>
      <w:lang w:val="ru-RU" w:eastAsia="ru-RU" w:bidi="ru-RU"/>
    </w:rPr>
  </w:style>
  <w:style w:type="paragraph" w:customStyle="1" w:styleId="72">
    <w:name w:val="Основной текст (7)"/>
    <w:basedOn w:val="a"/>
    <w:autoRedefine/>
    <w:qFormat/>
    <w:rsid w:val="003D4946"/>
    <w:pPr>
      <w:widowControl w:val="0"/>
      <w:shd w:val="clear" w:color="auto" w:fill="FFFFFF"/>
      <w:spacing w:after="0" w:line="0" w:lineRule="atLeast"/>
      <w:ind w:hanging="220"/>
    </w:pPr>
    <w:rPr>
      <w:rFonts w:ascii="Times New Roman" w:eastAsia="Times New Roman" w:hAnsi="Times New Roman" w:cs="Times New Roman"/>
    </w:rPr>
  </w:style>
  <w:style w:type="paragraph" w:customStyle="1" w:styleId="affff5">
    <w:name w:val="Подпись к картинке"/>
    <w:basedOn w:val="a"/>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1f0">
    <w:name w:val="Колонтитул1"/>
    <w:basedOn w:val="a"/>
    <w:link w:val="affff6"/>
    <w:autoRedefine/>
    <w:qFormat/>
    <w:rsid w:val="003D4946"/>
    <w:pPr>
      <w:widowControl w:val="0"/>
      <w:shd w:val="clear" w:color="auto" w:fill="FFFFFF"/>
      <w:spacing w:after="0" w:line="0" w:lineRule="atLeast"/>
    </w:pPr>
    <w:rPr>
      <w:rFonts w:ascii="Times New Roman" w:eastAsia="Times New Roman" w:hAnsi="Times New Roman" w:cs="Times New Roman"/>
    </w:rPr>
  </w:style>
  <w:style w:type="character" w:customStyle="1" w:styleId="affff6">
    <w:name w:val="Колонтитул_"/>
    <w:basedOn w:val="a0"/>
    <w:link w:val="1f0"/>
    <w:autoRedefine/>
    <w:qFormat/>
    <w:rsid w:val="003D4946"/>
    <w:rPr>
      <w:rFonts w:ascii="Times New Roman" w:eastAsia="Times New Roman" w:hAnsi="Times New Roman" w:cs="Times New Roman"/>
      <w:shd w:val="clear" w:color="auto" w:fill="FFFFFF"/>
    </w:rPr>
  </w:style>
  <w:style w:type="character" w:customStyle="1" w:styleId="affff7">
    <w:name w:val="Колонтитул"/>
    <w:basedOn w:val="affff6"/>
    <w:autoRedefine/>
    <w:qFormat/>
    <w:rsid w:val="003D4946"/>
    <w:rPr>
      <w:rFonts w:ascii="Times New Roman" w:eastAsia="Times New Roman" w:hAnsi="Times New Roman" w:cs="Times New Roman"/>
      <w:color w:val="000000"/>
      <w:spacing w:val="0"/>
      <w:w w:val="100"/>
      <w:position w:val="0"/>
      <w:shd w:val="clear" w:color="auto" w:fill="FFFFFF"/>
      <w:lang w:val="ru-RU" w:bidi="ru-RU"/>
    </w:rPr>
  </w:style>
  <w:style w:type="character" w:customStyle="1" w:styleId="2100">
    <w:name w:val="Основной текст (2) + 10"/>
    <w:basedOn w:val="2f0"/>
    <w:autoRedefine/>
    <w:qFormat/>
    <w:rsid w:val="003D4946"/>
    <w:rPr>
      <w:rFonts w:ascii="Times New Roman" w:eastAsia="Times New Roman" w:hAnsi="Times New Roman" w:cs="Times New Roman"/>
      <w:color w:val="000000"/>
      <w:spacing w:val="0"/>
      <w:w w:val="100"/>
      <w:position w:val="0"/>
      <w:sz w:val="21"/>
      <w:szCs w:val="21"/>
      <w:u w:val="none"/>
      <w:lang w:val="ru-RU" w:eastAsia="ru-RU" w:bidi="ru-RU"/>
    </w:rPr>
  </w:style>
  <w:style w:type="character" w:customStyle="1" w:styleId="250">
    <w:name w:val="Основной текст (2) + 5"/>
    <w:basedOn w:val="2f0"/>
    <w:autoRedefine/>
    <w:qFormat/>
    <w:rsid w:val="003D4946"/>
    <w:rPr>
      <w:rFonts w:ascii="Times New Roman" w:eastAsia="Times New Roman" w:hAnsi="Times New Roman" w:cs="Times New Roman"/>
      <w:i/>
      <w:iCs/>
      <w:color w:val="000000"/>
      <w:spacing w:val="0"/>
      <w:w w:val="100"/>
      <w:position w:val="0"/>
      <w:sz w:val="11"/>
      <w:szCs w:val="11"/>
      <w:u w:val="none"/>
      <w:lang w:val="en-US" w:eastAsia="en-US" w:bidi="en-US"/>
    </w:rPr>
  </w:style>
  <w:style w:type="paragraph" w:customStyle="1" w:styleId="Style18">
    <w:name w:val="Style18"/>
    <w:basedOn w:val="a"/>
    <w:autoRedefine/>
    <w:uiPriority w:val="99"/>
    <w:unhideWhenUsed/>
    <w:qFormat/>
    <w:rsid w:val="003D4946"/>
    <w:pPr>
      <w:spacing w:after="0" w:line="278" w:lineRule="exact"/>
      <w:ind w:firstLine="571"/>
      <w:jc w:val="both"/>
    </w:pPr>
    <w:rPr>
      <w:rFonts w:ascii="Times New Roman" w:eastAsia="Times New Roman" w:hAnsi="Times New Roman" w:cs="Times New Roman" w:hint="eastAsia"/>
      <w:sz w:val="24"/>
      <w:szCs w:val="24"/>
    </w:rPr>
  </w:style>
  <w:style w:type="character" w:customStyle="1" w:styleId="FontStyle65">
    <w:name w:val="Font Style65"/>
    <w:basedOn w:val="a0"/>
    <w:autoRedefine/>
    <w:uiPriority w:val="99"/>
    <w:unhideWhenUsed/>
    <w:qFormat/>
    <w:rsid w:val="003D4946"/>
    <w:rPr>
      <w:rFonts w:ascii="Times New Roman" w:cs="Times New Roman" w:hint="default"/>
      <w:color w:val="000000"/>
      <w:sz w:val="20"/>
      <w:szCs w:val="20"/>
    </w:rPr>
  </w:style>
  <w:style w:type="paragraph" w:customStyle="1" w:styleId="021216">
    <w:name w:val="021216Текст"/>
    <w:basedOn w:val="a"/>
    <w:autoRedefine/>
    <w:qFormat/>
    <w:rsid w:val="003D4946"/>
    <w:pPr>
      <w:spacing w:after="0" w:line="300" w:lineRule="auto"/>
      <w:ind w:firstLine="709"/>
    </w:pPr>
    <w:rPr>
      <w:rFonts w:ascii="Times New Roman" w:eastAsia="Times New Roman" w:hAnsi="Times New Roman" w:cs="Times New Roman"/>
      <w:sz w:val="24"/>
      <w:szCs w:val="24"/>
    </w:rPr>
  </w:style>
  <w:style w:type="paragraph" w:customStyle="1" w:styleId="Style24">
    <w:name w:val="Style24"/>
    <w:basedOn w:val="a"/>
    <w:autoRedefine/>
    <w:uiPriority w:val="99"/>
    <w:unhideWhenUsed/>
    <w:qFormat/>
    <w:rsid w:val="003D4946"/>
    <w:pPr>
      <w:spacing w:after="0" w:line="240" w:lineRule="auto"/>
      <w:jc w:val="center"/>
    </w:pPr>
    <w:rPr>
      <w:rFonts w:ascii="Times New Roman" w:eastAsiaTheme="minorHAnsi" w:hAnsi="Times New Roman" w:cs="Times New Roman"/>
      <w:b/>
      <w:bCs/>
      <w:sz w:val="24"/>
      <w:szCs w:val="24"/>
      <w:lang w:eastAsia="en-US" w:bidi="ru-RU"/>
    </w:rPr>
  </w:style>
  <w:style w:type="character" w:customStyle="1" w:styleId="FontStyle68">
    <w:name w:val="Font Style68"/>
    <w:basedOn w:val="a0"/>
    <w:autoRedefine/>
    <w:uiPriority w:val="99"/>
    <w:unhideWhenUsed/>
    <w:qFormat/>
    <w:rsid w:val="003D4946"/>
    <w:rPr>
      <w:rFonts w:ascii="Times New Roman" w:cs="Times New Roman" w:hint="default"/>
      <w:b/>
      <w:color w:val="000000"/>
      <w:sz w:val="26"/>
      <w:szCs w:val="26"/>
    </w:rPr>
  </w:style>
  <w:style w:type="paragraph" w:customStyle="1" w:styleId="affff8">
    <w:name w:val="таблица"/>
    <w:basedOn w:val="a"/>
    <w:autoRedefine/>
    <w:qFormat/>
    <w:rsid w:val="003D4946"/>
    <w:pPr>
      <w:keepNext/>
      <w:keepLines/>
      <w:spacing w:after="0" w:line="240" w:lineRule="auto"/>
      <w:jc w:val="center"/>
    </w:pPr>
    <w:rPr>
      <w:rFonts w:ascii="Times New Roman" w:eastAsia="Times New Roman" w:hAnsi="Times New Roman" w:cs="Times New Roman"/>
      <w:color w:val="000000"/>
      <w:sz w:val="24"/>
      <w:szCs w:val="24"/>
    </w:rPr>
  </w:style>
  <w:style w:type="paragraph" w:styleId="affff9">
    <w:name w:val="No Spacing"/>
    <w:autoRedefine/>
    <w:uiPriority w:val="99"/>
    <w:qFormat/>
    <w:rsid w:val="003D4946"/>
    <w:pPr>
      <w:spacing w:after="0" w:line="240" w:lineRule="auto"/>
      <w:jc w:val="both"/>
    </w:pPr>
    <w:rPr>
      <w:rFonts w:ascii="Times New Roman" w:eastAsia="Calibri" w:hAnsi="Times New Roman" w:cs="Times New Roman"/>
      <w:lang w:val="en-GB"/>
    </w:rPr>
  </w:style>
  <w:style w:type="character" w:customStyle="1" w:styleId="fontstyle01">
    <w:name w:val="fontstyle01"/>
    <w:autoRedefine/>
    <w:qFormat/>
    <w:rsid w:val="003D4946"/>
    <w:rPr>
      <w:rFonts w:ascii="Times New Roman" w:hAnsi="Times New Roman" w:cs="Times New Roman" w:hint="default"/>
      <w:color w:val="000000"/>
      <w:sz w:val="24"/>
      <w:szCs w:val="24"/>
    </w:rPr>
  </w:style>
  <w:style w:type="character" w:customStyle="1" w:styleId="271">
    <w:name w:val="Основной текст (2) + 7"/>
    <w:basedOn w:val="2f0"/>
    <w:autoRedefine/>
    <w:qFormat/>
    <w:rsid w:val="003D4946"/>
    <w:rPr>
      <w:rFonts w:ascii="Times New Roman" w:eastAsia="Times New Roman" w:hAnsi="Times New Roman" w:cs="Times New Roman"/>
      <w:color w:val="000000"/>
      <w:spacing w:val="0"/>
      <w:w w:val="100"/>
      <w:position w:val="0"/>
      <w:sz w:val="15"/>
      <w:szCs w:val="15"/>
      <w:u w:val="none"/>
      <w:lang w:val="ru-RU" w:eastAsia="ru-RU" w:bidi="ru-RU"/>
    </w:rPr>
  </w:style>
  <w:style w:type="paragraph" w:customStyle="1" w:styleId="affffa">
    <w:name w:val="Сноска"/>
    <w:basedOn w:val="a"/>
    <w:autoRedefine/>
    <w:qFormat/>
    <w:rsid w:val="003D4946"/>
    <w:pPr>
      <w:widowControl w:val="0"/>
      <w:shd w:val="clear" w:color="auto" w:fill="FFFFFF"/>
      <w:spacing w:after="0" w:line="283" w:lineRule="exact"/>
      <w:jc w:val="both"/>
    </w:pPr>
    <w:rPr>
      <w:rFonts w:ascii="Times New Roman" w:eastAsia="Times New Roman" w:hAnsi="Times New Roman" w:cs="Times New Roman"/>
      <w:sz w:val="24"/>
      <w:szCs w:val="24"/>
    </w:rPr>
  </w:style>
  <w:style w:type="paragraph" w:customStyle="1" w:styleId="46">
    <w:name w:val="Заголовок №4"/>
    <w:basedOn w:val="a"/>
    <w:autoRedefine/>
    <w:qFormat/>
    <w:rsid w:val="003D4946"/>
    <w:pPr>
      <w:widowControl w:val="0"/>
      <w:shd w:val="clear" w:color="auto" w:fill="FFFFFF"/>
      <w:spacing w:after="0" w:line="566" w:lineRule="exact"/>
      <w:ind w:hanging="880"/>
      <w:jc w:val="both"/>
      <w:outlineLvl w:val="3"/>
    </w:pPr>
    <w:rPr>
      <w:rFonts w:ascii="Times New Roman" w:eastAsia="Times New Roman" w:hAnsi="Times New Roman" w:cs="Times New Roman"/>
      <w:b/>
      <w:bCs/>
      <w:sz w:val="24"/>
      <w:szCs w:val="24"/>
    </w:rPr>
  </w:style>
  <w:style w:type="paragraph" w:customStyle="1" w:styleId="Standard">
    <w:name w:val="Standard"/>
    <w:autoRedefine/>
    <w:qFormat/>
    <w:rsid w:val="003D4946"/>
    <w:pPr>
      <w:widowControl w:val="0"/>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character" w:customStyle="1" w:styleId="-">
    <w:name w:val="Интернет-ссылка"/>
    <w:basedOn w:val="a0"/>
    <w:autoRedefine/>
    <w:uiPriority w:val="99"/>
    <w:unhideWhenUsed/>
    <w:qFormat/>
    <w:rsid w:val="003D4946"/>
    <w:rPr>
      <w:color w:val="0000FF" w:themeColor="hyperlink"/>
      <w:u w:val="single"/>
    </w:rPr>
  </w:style>
  <w:style w:type="paragraph" w:customStyle="1" w:styleId="affffb">
    <w:name w:val="Нормальный"/>
    <w:basedOn w:val="a"/>
    <w:autoRedefine/>
    <w:qFormat/>
    <w:rsid w:val="003D4946"/>
    <w:pPr>
      <w:spacing w:after="0" w:line="240" w:lineRule="auto"/>
      <w:ind w:firstLine="709"/>
    </w:pPr>
    <w:rPr>
      <w:rFonts w:ascii="Times New Roman" w:eastAsia="Calibri" w:hAnsi="Times New Roman" w:cs="Times New Roman"/>
      <w:sz w:val="24"/>
      <w:szCs w:val="24"/>
      <w:lang w:eastAsia="en-US"/>
    </w:rPr>
  </w:style>
  <w:style w:type="paragraph" w:customStyle="1" w:styleId="Style33">
    <w:name w:val="Style33"/>
    <w:basedOn w:val="a"/>
    <w:autoRedefine/>
    <w:uiPriority w:val="99"/>
    <w:unhideWhenUsed/>
    <w:qFormat/>
    <w:rsid w:val="003D4946"/>
    <w:pPr>
      <w:spacing w:after="0" w:line="276" w:lineRule="exact"/>
    </w:pPr>
    <w:rPr>
      <w:rFonts w:ascii="Times New Roman" w:eastAsia="Times New Roman" w:hAnsi="Times New Roman" w:cs="Times New Roman" w:hint="eastAsia"/>
      <w:sz w:val="24"/>
      <w:szCs w:val="24"/>
    </w:rPr>
  </w:style>
  <w:style w:type="paragraph" w:customStyle="1" w:styleId="Style32">
    <w:name w:val="Style32"/>
    <w:basedOn w:val="a"/>
    <w:autoRedefine/>
    <w:uiPriority w:val="99"/>
    <w:unhideWhenUsed/>
    <w:qFormat/>
    <w:rsid w:val="003D4946"/>
    <w:pPr>
      <w:spacing w:after="0" w:line="274" w:lineRule="exact"/>
      <w:jc w:val="both"/>
    </w:pPr>
    <w:rPr>
      <w:rFonts w:ascii="Times New Roman" w:eastAsia="Times New Roman" w:hAnsi="Times New Roman" w:cs="Times New Roman" w:hint="eastAsia"/>
      <w:sz w:val="24"/>
      <w:szCs w:val="24"/>
    </w:rPr>
  </w:style>
  <w:style w:type="paragraph" w:customStyle="1" w:styleId="2111">
    <w:name w:val="Знак211"/>
    <w:basedOn w:val="a"/>
    <w:next w:val="afa"/>
    <w:autoRedefine/>
    <w:unhideWhenUsed/>
    <w:qFormat/>
    <w:rsid w:val="003D4946"/>
    <w:pPr>
      <w:spacing w:after="0" w:line="240" w:lineRule="auto"/>
    </w:pPr>
    <w:rPr>
      <w:rFonts w:ascii="Times New Roman" w:eastAsia="Calibri" w:hAnsi="Times New Roman" w:cs="Times New Roman"/>
      <w:sz w:val="24"/>
      <w:szCs w:val="24"/>
    </w:rPr>
  </w:style>
  <w:style w:type="character" w:customStyle="1" w:styleId="font21">
    <w:name w:val="font21"/>
    <w:autoRedefine/>
    <w:qFormat/>
    <w:rsid w:val="003D4946"/>
    <w:rPr>
      <w:rFonts w:ascii="Arial" w:hAnsi="Arial" w:cs="Arial"/>
      <w:color w:val="000000"/>
      <w:u w:val="none"/>
    </w:rPr>
  </w:style>
  <w:style w:type="character" w:customStyle="1" w:styleId="font31">
    <w:name w:val="font31"/>
    <w:autoRedefine/>
    <w:qFormat/>
    <w:rsid w:val="003D4946"/>
    <w:rPr>
      <w:rFonts w:ascii="Arial" w:hAnsi="Arial" w:cs="Arial"/>
      <w:color w:val="000000"/>
      <w:u w:val="none"/>
    </w:rPr>
  </w:style>
  <w:style w:type="character" w:customStyle="1" w:styleId="2115pt">
    <w:name w:val="Основной текст (2) + 11;5 pt;Не полужирный"/>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05pt">
    <w:name w:val="Основной текст (2) + 10;5 pt;Полужирный"/>
    <w:basedOn w:val="2f0"/>
    <w:autoRedefine/>
    <w:qFormat/>
    <w:rsid w:val="003D4946"/>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95pt">
    <w:name w:val="Основной текст (2) + 9;5 pt;Полужирный"/>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formattext">
    <w:name w:val="formattext"/>
    <w:basedOn w:val="a"/>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0">
    <w:name w:val="TEXT"/>
    <w:basedOn w:val="a"/>
    <w:link w:val="TEXT1"/>
    <w:qFormat/>
    <w:rsid w:val="003D4946"/>
    <w:pPr>
      <w:spacing w:after="0" w:line="360" w:lineRule="auto"/>
      <w:ind w:firstLine="851"/>
      <w:jc w:val="both"/>
    </w:pPr>
    <w:rPr>
      <w:rFonts w:ascii="Times New Roman" w:eastAsia="Times New Roman" w:hAnsi="Times New Roman" w:cs="Times New Roman"/>
      <w:sz w:val="24"/>
      <w:szCs w:val="24"/>
    </w:rPr>
  </w:style>
  <w:style w:type="character" w:customStyle="1" w:styleId="TEXT1">
    <w:name w:val="TEXT Знак"/>
    <w:link w:val="TEXT0"/>
    <w:qFormat/>
    <w:locked/>
    <w:rsid w:val="003D4946"/>
    <w:rPr>
      <w:rFonts w:ascii="Times New Roman" w:eastAsia="Times New Roman" w:hAnsi="Times New Roman" w:cs="Times New Roman"/>
      <w:sz w:val="24"/>
      <w:szCs w:val="24"/>
    </w:rPr>
  </w:style>
  <w:style w:type="character" w:styleId="affffc">
    <w:name w:val="endnote reference"/>
    <w:basedOn w:val="a0"/>
    <w:autoRedefine/>
    <w:semiHidden/>
    <w:qFormat/>
    <w:rsid w:val="00F022FE"/>
    <w:rPr>
      <w:vertAlign w:val="superscript"/>
    </w:rPr>
  </w:style>
  <w:style w:type="paragraph" w:styleId="81">
    <w:name w:val="toc 8"/>
    <w:basedOn w:val="a"/>
    <w:next w:val="a"/>
    <w:autoRedefine/>
    <w:semiHidden/>
    <w:qFormat/>
    <w:rsid w:val="00F022FE"/>
    <w:pPr>
      <w:spacing w:after="0" w:line="240" w:lineRule="auto"/>
      <w:ind w:left="1440"/>
    </w:pPr>
    <w:rPr>
      <w:rFonts w:ascii="Times New Roman" w:eastAsia="Times New Roman" w:hAnsi="Times New Roman" w:cs="Times New Roman"/>
      <w:sz w:val="20"/>
      <w:szCs w:val="20"/>
    </w:rPr>
  </w:style>
  <w:style w:type="paragraph" w:styleId="73">
    <w:name w:val="toc 7"/>
    <w:basedOn w:val="a"/>
    <w:next w:val="a"/>
    <w:autoRedefine/>
    <w:semiHidden/>
    <w:qFormat/>
    <w:rsid w:val="00F022FE"/>
    <w:pPr>
      <w:spacing w:after="0" w:line="240" w:lineRule="auto"/>
      <w:ind w:left="1200"/>
    </w:pPr>
    <w:rPr>
      <w:rFonts w:ascii="Times New Roman" w:eastAsia="Times New Roman" w:hAnsi="Times New Roman" w:cs="Times New Roman"/>
      <w:sz w:val="20"/>
      <w:szCs w:val="20"/>
    </w:rPr>
  </w:style>
  <w:style w:type="paragraph" w:styleId="62">
    <w:name w:val="toc 6"/>
    <w:basedOn w:val="a"/>
    <w:next w:val="a"/>
    <w:autoRedefine/>
    <w:semiHidden/>
    <w:qFormat/>
    <w:rsid w:val="00F022FE"/>
    <w:pPr>
      <w:spacing w:after="0" w:line="240" w:lineRule="auto"/>
      <w:ind w:left="960"/>
    </w:pPr>
    <w:rPr>
      <w:rFonts w:ascii="Times New Roman" w:eastAsia="Times New Roman" w:hAnsi="Times New Roman" w:cs="Times New Roman"/>
      <w:sz w:val="20"/>
      <w:szCs w:val="20"/>
    </w:rPr>
  </w:style>
  <w:style w:type="paragraph" w:styleId="47">
    <w:name w:val="toc 4"/>
    <w:basedOn w:val="a"/>
    <w:next w:val="a"/>
    <w:autoRedefine/>
    <w:semiHidden/>
    <w:qFormat/>
    <w:rsid w:val="00F022FE"/>
    <w:pPr>
      <w:spacing w:after="0" w:line="240" w:lineRule="auto"/>
      <w:ind w:left="480"/>
    </w:pPr>
    <w:rPr>
      <w:rFonts w:ascii="Times New Roman" w:eastAsia="Times New Roman" w:hAnsi="Times New Roman" w:cs="Times New Roman"/>
      <w:sz w:val="20"/>
      <w:szCs w:val="20"/>
    </w:rPr>
  </w:style>
  <w:style w:type="paragraph" w:styleId="51">
    <w:name w:val="toc 5"/>
    <w:basedOn w:val="a"/>
    <w:next w:val="a"/>
    <w:autoRedefine/>
    <w:semiHidden/>
    <w:qFormat/>
    <w:rsid w:val="00F022FE"/>
    <w:pPr>
      <w:spacing w:after="0" w:line="240" w:lineRule="auto"/>
      <w:ind w:left="720"/>
    </w:pPr>
    <w:rPr>
      <w:rFonts w:ascii="Times New Roman" w:eastAsia="Times New Roman" w:hAnsi="Times New Roman" w:cs="Times New Roman"/>
      <w:sz w:val="20"/>
      <w:szCs w:val="20"/>
    </w:rPr>
  </w:style>
  <w:style w:type="table" w:styleId="1f1">
    <w:name w:val="Table Simple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f2">
    <w:name w:val="Table Grid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ffd">
    <w:name w:val="Table Professional"/>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3">
    <w:name w:val="Стандарт1"/>
    <w:basedOn w:val="1f1"/>
    <w:autoRedefine/>
    <w:qFormat/>
    <w:rsid w:val="00F022FE"/>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il"/>
          <w:tr2bl w:val="nil"/>
        </w:tcBorders>
        <w:shd w:val="clear" w:color="auto" w:fill="auto"/>
      </w:tcPr>
    </w:tblStylePr>
    <w:tblStylePr w:type="lastRow">
      <w:tblPr/>
      <w:tcPr>
        <w:tcBorders>
          <w:top w:val="nil"/>
          <w:tl2br w:val="nil"/>
          <w:tr2bl w:val="nil"/>
        </w:tcBorders>
        <w:shd w:val="clear" w:color="auto" w:fill="auto"/>
      </w:tcPr>
    </w:tblStylePr>
  </w:style>
  <w:style w:type="table" w:customStyle="1" w:styleId="242">
    <w:name w:val="Сетка таблицы242"/>
    <w:basedOn w:val="a1"/>
    <w:autoRedefine/>
    <w:uiPriority w:val="39"/>
    <w:qFormat/>
    <w:rsid w:val="00F022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qFormat/>
    <w:rsid w:val="00F022FE"/>
    <w:pPr>
      <w:spacing w:after="0" w:line="240" w:lineRule="auto"/>
    </w:pPr>
    <w:rPr>
      <w:rFonts w:ascii="Times New Roman" w:eastAsiaTheme="minorHAnsi" w:hAnsi="Times New Roman" w:cs="Times New Roman"/>
      <w:kern w:val="2"/>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f5">
    <w:name w:val="Неразрешенное упоминание1"/>
    <w:basedOn w:val="a0"/>
    <w:uiPriority w:val="99"/>
    <w:semiHidden/>
    <w:unhideWhenUsed/>
    <w:qFormat/>
    <w:rsid w:val="00F022FE"/>
    <w:rPr>
      <w:color w:val="605E5C"/>
      <w:shd w:val="clear" w:color="auto" w:fill="E1DFDD"/>
    </w:rPr>
  </w:style>
  <w:style w:type="table" w:customStyle="1" w:styleId="190">
    <w:name w:val="Сетка таблицы19"/>
    <w:basedOn w:val="a1"/>
    <w:rsid w:val="00F022F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footnote text" w:uiPriority="0" w:qFormat="1"/>
    <w:lsdException w:name="annotation text" w:uiPriority="0" w:qFormat="1"/>
    <w:lsdException w:name="header" w:uiPriority="0" w:qFormat="1"/>
    <w:lsdException w:name="footer" w:qFormat="1"/>
    <w:lsdException w:name="caption" w:uiPriority="0" w:qFormat="1"/>
    <w:lsdException w:name="footnote reference" w:qFormat="1"/>
    <w:lsdException w:name="annotation reference" w:uiPriority="0" w:qFormat="1"/>
    <w:lsdException w:name="page number" w:uiPriority="0" w:qFormat="1"/>
    <w:lsdException w:name="endnote reference" w:uiPriority="0" w:qFormat="1"/>
    <w:lsdException w:name="endnote text" w:uiPriority="0" w:qFormat="1"/>
    <w:lsdException w:name="List" w:qFormat="1"/>
    <w:lsdException w:name="List Bulle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First Indent"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Table Simple 1" w:uiPriority="0" w:qFormat="1"/>
    <w:lsdException w:name="Table Grid 1" w:uiPriority="0" w:qFormat="1"/>
    <w:lsdException w:name="Table Professional" w:uiPriority="0"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ACF"/>
  </w:style>
  <w:style w:type="paragraph" w:styleId="1">
    <w:name w:val="heading 1"/>
    <w:basedOn w:val="a"/>
    <w:next w:val="a"/>
    <w:link w:val="10"/>
    <w:uiPriority w:val="9"/>
    <w:qFormat/>
    <w:rsid w:val="008F6C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link w:val="20"/>
    <w:qFormat/>
    <w:rsid w:val="003D4946"/>
    <w:pPr>
      <w:spacing w:beforeAutospacing="1" w:after="0" w:afterAutospacing="1" w:line="240" w:lineRule="auto"/>
      <w:outlineLvl w:val="1"/>
    </w:pPr>
    <w:rPr>
      <w:rFonts w:ascii="SimSun" w:eastAsia="SimSun" w:hAnsi="SimSun" w:cs="Times New Roman" w:hint="eastAsia"/>
      <w:b/>
      <w:bCs/>
      <w:i/>
      <w:iCs/>
      <w:sz w:val="36"/>
      <w:szCs w:val="36"/>
      <w:lang w:val="en-US" w:eastAsia="zh-CN"/>
    </w:rPr>
  </w:style>
  <w:style w:type="paragraph" w:styleId="3">
    <w:name w:val="heading 3"/>
    <w:basedOn w:val="a"/>
    <w:next w:val="a"/>
    <w:link w:val="30"/>
    <w:qFormat/>
    <w:rsid w:val="00022768"/>
    <w:pPr>
      <w:keepNext/>
      <w:spacing w:before="240" w:after="60"/>
      <w:outlineLvl w:val="2"/>
    </w:pPr>
    <w:rPr>
      <w:rFonts w:ascii="Arial" w:eastAsia="Times New Roman" w:hAnsi="Arial" w:cs="Arial"/>
      <w:b/>
      <w:bCs/>
      <w:sz w:val="26"/>
      <w:szCs w:val="26"/>
    </w:rPr>
  </w:style>
  <w:style w:type="paragraph" w:styleId="4">
    <w:name w:val="heading 4"/>
    <w:basedOn w:val="a"/>
    <w:next w:val="a"/>
    <w:link w:val="40"/>
    <w:autoRedefine/>
    <w:qFormat/>
    <w:rsid w:val="003D494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autoRedefine/>
    <w:qFormat/>
    <w:rsid w:val="003D494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autoRedefine/>
    <w:qFormat/>
    <w:rsid w:val="003D494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autoRedefine/>
    <w:qFormat/>
    <w:rsid w:val="003D49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autoRedefine/>
    <w:qFormat/>
    <w:rsid w:val="003D494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autoRedefine/>
    <w:qFormat/>
    <w:rsid w:val="003D494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F6CB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3D4946"/>
    <w:rPr>
      <w:rFonts w:ascii="SimSun" w:eastAsia="SimSun" w:hAnsi="SimSun" w:cs="Times New Roman"/>
      <w:b/>
      <w:bCs/>
      <w:i/>
      <w:iCs/>
      <w:sz w:val="36"/>
      <w:szCs w:val="36"/>
      <w:lang w:val="en-US" w:eastAsia="zh-CN"/>
    </w:rPr>
  </w:style>
  <w:style w:type="character" w:customStyle="1" w:styleId="30">
    <w:name w:val="Заголовок 3 Знак"/>
    <w:basedOn w:val="a0"/>
    <w:link w:val="3"/>
    <w:qFormat/>
    <w:rsid w:val="00022768"/>
    <w:rPr>
      <w:rFonts w:ascii="Arial" w:eastAsia="Times New Roman" w:hAnsi="Arial" w:cs="Arial"/>
      <w:b/>
      <w:bCs/>
      <w:sz w:val="26"/>
      <w:szCs w:val="26"/>
    </w:rPr>
  </w:style>
  <w:style w:type="character" w:customStyle="1" w:styleId="40">
    <w:name w:val="Заголовок 4 Знак"/>
    <w:basedOn w:val="a0"/>
    <w:link w:val="4"/>
    <w:qFormat/>
    <w:rsid w:val="003D4946"/>
    <w:rPr>
      <w:rFonts w:ascii="Times New Roman" w:eastAsia="Times New Roman" w:hAnsi="Times New Roman" w:cs="Times New Roman"/>
      <w:b/>
      <w:bCs/>
      <w:sz w:val="28"/>
      <w:szCs w:val="28"/>
    </w:rPr>
  </w:style>
  <w:style w:type="character" w:customStyle="1" w:styleId="50">
    <w:name w:val="Заголовок 5 Знак"/>
    <w:basedOn w:val="a0"/>
    <w:link w:val="5"/>
    <w:qFormat/>
    <w:rsid w:val="003D4946"/>
    <w:rPr>
      <w:rFonts w:ascii="Times New Roman" w:eastAsia="Times New Roman" w:hAnsi="Times New Roman" w:cs="Times New Roman"/>
      <w:b/>
      <w:bCs/>
      <w:i/>
      <w:iCs/>
      <w:sz w:val="26"/>
      <w:szCs w:val="26"/>
    </w:rPr>
  </w:style>
  <w:style w:type="character" w:customStyle="1" w:styleId="60">
    <w:name w:val="Заголовок 6 Знак"/>
    <w:basedOn w:val="a0"/>
    <w:link w:val="6"/>
    <w:qFormat/>
    <w:rsid w:val="003D4946"/>
    <w:rPr>
      <w:rFonts w:ascii="Times New Roman" w:eastAsia="Times New Roman" w:hAnsi="Times New Roman" w:cs="Times New Roman"/>
      <w:b/>
      <w:bCs/>
    </w:rPr>
  </w:style>
  <w:style w:type="character" w:customStyle="1" w:styleId="70">
    <w:name w:val="Заголовок 7 Знак"/>
    <w:basedOn w:val="a0"/>
    <w:link w:val="7"/>
    <w:qFormat/>
    <w:rsid w:val="003D4946"/>
    <w:rPr>
      <w:rFonts w:ascii="Times New Roman" w:eastAsia="Times New Roman" w:hAnsi="Times New Roman" w:cs="Times New Roman"/>
      <w:sz w:val="24"/>
      <w:szCs w:val="24"/>
    </w:rPr>
  </w:style>
  <w:style w:type="character" w:customStyle="1" w:styleId="80">
    <w:name w:val="Заголовок 8 Знак"/>
    <w:basedOn w:val="a0"/>
    <w:link w:val="8"/>
    <w:qFormat/>
    <w:rsid w:val="003D4946"/>
    <w:rPr>
      <w:rFonts w:ascii="Times New Roman" w:eastAsia="Times New Roman" w:hAnsi="Times New Roman" w:cs="Times New Roman"/>
      <w:i/>
      <w:iCs/>
      <w:sz w:val="24"/>
      <w:szCs w:val="24"/>
    </w:rPr>
  </w:style>
  <w:style w:type="character" w:customStyle="1" w:styleId="90">
    <w:name w:val="Заголовок 9 Знак"/>
    <w:basedOn w:val="a0"/>
    <w:link w:val="9"/>
    <w:qFormat/>
    <w:rsid w:val="003D4946"/>
    <w:rPr>
      <w:rFonts w:ascii="Arial" w:eastAsia="Times New Roman" w:hAnsi="Arial" w:cs="Arial"/>
    </w:rPr>
  </w:style>
  <w:style w:type="paragraph" w:styleId="a3">
    <w:name w:val="Balloon Text"/>
    <w:basedOn w:val="a"/>
    <w:link w:val="a4"/>
    <w:unhideWhenUsed/>
    <w:qFormat/>
    <w:rsid w:val="00CC74CF"/>
    <w:pPr>
      <w:spacing w:after="0" w:line="240" w:lineRule="auto"/>
    </w:pPr>
    <w:rPr>
      <w:rFonts w:ascii="Tahoma" w:hAnsi="Tahoma" w:cs="Tahoma"/>
      <w:sz w:val="16"/>
      <w:szCs w:val="16"/>
    </w:rPr>
  </w:style>
  <w:style w:type="character" w:customStyle="1" w:styleId="a4">
    <w:name w:val="Текст выноски Знак"/>
    <w:basedOn w:val="a0"/>
    <w:link w:val="a3"/>
    <w:qFormat/>
    <w:rsid w:val="00CC74CF"/>
    <w:rPr>
      <w:rFonts w:ascii="Tahoma" w:hAnsi="Tahoma" w:cs="Tahoma"/>
      <w:sz w:val="16"/>
      <w:szCs w:val="16"/>
    </w:rPr>
  </w:style>
  <w:style w:type="paragraph" w:styleId="a5">
    <w:name w:val="header"/>
    <w:basedOn w:val="a"/>
    <w:link w:val="a6"/>
    <w:autoRedefine/>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qFormat/>
    <w:rsid w:val="008F6CBE"/>
    <w:rPr>
      <w:rFonts w:ascii="Times New Roman" w:eastAsia="Times New Roman" w:hAnsi="Times New Roman" w:cs="Times New Roman"/>
      <w:sz w:val="24"/>
      <w:szCs w:val="24"/>
    </w:rPr>
  </w:style>
  <w:style w:type="paragraph" w:styleId="a7">
    <w:name w:val="footer"/>
    <w:basedOn w:val="a"/>
    <w:link w:val="a8"/>
    <w:autoRedefine/>
    <w:uiPriority w:val="99"/>
    <w:qFormat/>
    <w:rsid w:val="008F6C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8F6CBE"/>
    <w:rPr>
      <w:rFonts w:ascii="Times New Roman" w:eastAsia="Times New Roman" w:hAnsi="Times New Roman" w:cs="Times New Roman"/>
      <w:sz w:val="24"/>
      <w:szCs w:val="24"/>
    </w:rPr>
  </w:style>
  <w:style w:type="character" w:styleId="a9">
    <w:name w:val="Hyperlink"/>
    <w:basedOn w:val="a0"/>
    <w:uiPriority w:val="99"/>
    <w:unhideWhenUsed/>
    <w:qFormat/>
    <w:rsid w:val="008F6CBE"/>
    <w:rPr>
      <w:color w:val="0000FF" w:themeColor="hyperlink"/>
      <w:u w:val="single"/>
    </w:rPr>
  </w:style>
  <w:style w:type="table" w:styleId="aa">
    <w:name w:val="Table Grid"/>
    <w:basedOn w:val="a1"/>
    <w:uiPriority w:val="59"/>
    <w:qFormat/>
    <w:rsid w:val="003D4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autoRedefine/>
    <w:qFormat/>
    <w:rsid w:val="003D4946"/>
    <w:rPr>
      <w:color w:val="800080"/>
      <w:u w:val="single"/>
    </w:rPr>
  </w:style>
  <w:style w:type="character" w:styleId="ac">
    <w:name w:val="footnote reference"/>
    <w:basedOn w:val="a0"/>
    <w:autoRedefine/>
    <w:uiPriority w:val="99"/>
    <w:qFormat/>
    <w:rsid w:val="003D4946"/>
    <w:rPr>
      <w:vertAlign w:val="superscript"/>
    </w:rPr>
  </w:style>
  <w:style w:type="character" w:styleId="ad">
    <w:name w:val="annotation reference"/>
    <w:basedOn w:val="a0"/>
    <w:qFormat/>
    <w:rsid w:val="003D4946"/>
    <w:rPr>
      <w:sz w:val="16"/>
      <w:szCs w:val="16"/>
    </w:rPr>
  </w:style>
  <w:style w:type="character" w:styleId="ae">
    <w:name w:val="Emphasis"/>
    <w:basedOn w:val="a0"/>
    <w:autoRedefine/>
    <w:qFormat/>
    <w:rsid w:val="003D4946"/>
    <w:rPr>
      <w:i/>
      <w:iCs/>
    </w:rPr>
  </w:style>
  <w:style w:type="character" w:styleId="af">
    <w:name w:val="page number"/>
    <w:basedOn w:val="a0"/>
    <w:autoRedefine/>
    <w:qFormat/>
    <w:rsid w:val="003D4946"/>
  </w:style>
  <w:style w:type="character" w:styleId="af0">
    <w:name w:val="Strong"/>
    <w:basedOn w:val="a0"/>
    <w:autoRedefine/>
    <w:uiPriority w:val="22"/>
    <w:qFormat/>
    <w:rsid w:val="003D4946"/>
    <w:rPr>
      <w:b/>
      <w:bCs/>
    </w:rPr>
  </w:style>
  <w:style w:type="paragraph" w:styleId="21">
    <w:name w:val="Body Text 2"/>
    <w:basedOn w:val="a"/>
    <w:link w:val="22"/>
    <w:autoRedefine/>
    <w:qFormat/>
    <w:rsid w:val="003D494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3D4946"/>
    <w:rPr>
      <w:rFonts w:ascii="Times New Roman" w:eastAsia="Times New Roman" w:hAnsi="Times New Roman" w:cs="Times New Roman"/>
      <w:sz w:val="24"/>
      <w:szCs w:val="24"/>
    </w:rPr>
  </w:style>
  <w:style w:type="paragraph" w:styleId="af1">
    <w:name w:val="Plain Text"/>
    <w:basedOn w:val="a"/>
    <w:link w:val="af2"/>
    <w:autoRedefine/>
    <w:qFormat/>
    <w:rsid w:val="003D4946"/>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qFormat/>
    <w:rsid w:val="003D4946"/>
    <w:rPr>
      <w:rFonts w:ascii="Courier New" w:eastAsia="Times New Roman" w:hAnsi="Courier New" w:cs="Times New Roman"/>
      <w:sz w:val="20"/>
      <w:szCs w:val="20"/>
    </w:rPr>
  </w:style>
  <w:style w:type="paragraph" w:styleId="31">
    <w:name w:val="Body Text Indent 3"/>
    <w:basedOn w:val="a"/>
    <w:link w:val="32"/>
    <w:autoRedefine/>
    <w:qFormat/>
    <w:rsid w:val="003D4946"/>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qFormat/>
    <w:rsid w:val="003D4946"/>
    <w:rPr>
      <w:rFonts w:ascii="Times New Roman" w:eastAsia="Times New Roman" w:hAnsi="Times New Roman" w:cs="Times New Roman"/>
      <w:sz w:val="16"/>
      <w:szCs w:val="16"/>
    </w:rPr>
  </w:style>
  <w:style w:type="character" w:customStyle="1" w:styleId="af3">
    <w:name w:val="Текст концевой сноски Знак"/>
    <w:basedOn w:val="a0"/>
    <w:link w:val="af4"/>
    <w:semiHidden/>
    <w:rsid w:val="003D4946"/>
    <w:rPr>
      <w:rFonts w:ascii="Times New Roman" w:eastAsia="Times New Roman" w:hAnsi="Times New Roman" w:cs="Times New Roman"/>
      <w:sz w:val="20"/>
      <w:szCs w:val="20"/>
    </w:rPr>
  </w:style>
  <w:style w:type="paragraph" w:styleId="af4">
    <w:name w:val="endnote text"/>
    <w:basedOn w:val="a"/>
    <w:link w:val="af3"/>
    <w:autoRedefine/>
    <w:semiHidden/>
    <w:qFormat/>
    <w:rsid w:val="003D4946"/>
    <w:pPr>
      <w:spacing w:after="0" w:line="240" w:lineRule="auto"/>
    </w:pPr>
    <w:rPr>
      <w:rFonts w:ascii="Times New Roman" w:eastAsia="Times New Roman" w:hAnsi="Times New Roman" w:cs="Times New Roman"/>
      <w:sz w:val="20"/>
      <w:szCs w:val="20"/>
    </w:rPr>
  </w:style>
  <w:style w:type="paragraph" w:styleId="af5">
    <w:name w:val="caption"/>
    <w:basedOn w:val="a"/>
    <w:next w:val="a"/>
    <w:autoRedefine/>
    <w:qFormat/>
    <w:rsid w:val="003D4946"/>
    <w:pPr>
      <w:spacing w:before="120" w:after="120" w:line="240" w:lineRule="auto"/>
    </w:pPr>
    <w:rPr>
      <w:rFonts w:ascii="Times New Roman" w:eastAsia="Times New Roman" w:hAnsi="Times New Roman" w:cs="Times New Roman"/>
      <w:b/>
      <w:bCs/>
      <w:sz w:val="20"/>
      <w:szCs w:val="20"/>
    </w:rPr>
  </w:style>
  <w:style w:type="paragraph" w:styleId="af6">
    <w:name w:val="annotation text"/>
    <w:basedOn w:val="a"/>
    <w:link w:val="af7"/>
    <w:autoRedefine/>
    <w:qFormat/>
    <w:rsid w:val="003D4946"/>
    <w:pPr>
      <w:spacing w:after="0" w:line="240" w:lineRule="auto"/>
    </w:pPr>
    <w:rPr>
      <w:rFonts w:ascii="Times New Roman" w:eastAsia="Times New Roman" w:hAnsi="Times New Roman" w:cs="Times New Roman"/>
      <w:sz w:val="24"/>
      <w:szCs w:val="24"/>
    </w:rPr>
  </w:style>
  <w:style w:type="character" w:customStyle="1" w:styleId="af7">
    <w:name w:val="Текст примечания Знак"/>
    <w:basedOn w:val="a0"/>
    <w:link w:val="af6"/>
    <w:qFormat/>
    <w:rsid w:val="003D4946"/>
    <w:rPr>
      <w:rFonts w:ascii="Times New Roman" w:eastAsia="Times New Roman" w:hAnsi="Times New Roman" w:cs="Times New Roman"/>
      <w:sz w:val="24"/>
      <w:szCs w:val="24"/>
    </w:rPr>
  </w:style>
  <w:style w:type="character" w:customStyle="1" w:styleId="af8">
    <w:name w:val="Схема документа Знак"/>
    <w:basedOn w:val="a0"/>
    <w:link w:val="af9"/>
    <w:semiHidden/>
    <w:qFormat/>
    <w:rsid w:val="003D4946"/>
    <w:rPr>
      <w:rFonts w:ascii="Tahoma" w:eastAsia="Times New Roman" w:hAnsi="Tahoma" w:cs="Tahoma"/>
      <w:sz w:val="20"/>
      <w:szCs w:val="20"/>
      <w:shd w:val="clear" w:color="auto" w:fill="000080"/>
    </w:rPr>
  </w:style>
  <w:style w:type="paragraph" w:styleId="af9">
    <w:name w:val="Document Map"/>
    <w:basedOn w:val="a"/>
    <w:link w:val="af8"/>
    <w:autoRedefine/>
    <w:semiHidden/>
    <w:qFormat/>
    <w:rsid w:val="003D4946"/>
    <w:pPr>
      <w:shd w:val="clear" w:color="auto" w:fill="000080"/>
      <w:spacing w:after="0" w:line="240" w:lineRule="auto"/>
    </w:pPr>
    <w:rPr>
      <w:rFonts w:ascii="Tahoma" w:eastAsia="Times New Roman" w:hAnsi="Tahoma" w:cs="Tahoma"/>
      <w:sz w:val="20"/>
      <w:szCs w:val="20"/>
    </w:rPr>
  </w:style>
  <w:style w:type="paragraph" w:styleId="afa">
    <w:name w:val="footnote text"/>
    <w:basedOn w:val="a"/>
    <w:link w:val="afb"/>
    <w:autoRedefine/>
    <w:qFormat/>
    <w:rsid w:val="003D4946"/>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qFormat/>
    <w:rsid w:val="003D4946"/>
    <w:rPr>
      <w:rFonts w:ascii="Times New Roman" w:eastAsia="Times New Roman" w:hAnsi="Times New Roman" w:cs="Times New Roman"/>
      <w:sz w:val="20"/>
      <w:szCs w:val="20"/>
    </w:rPr>
  </w:style>
  <w:style w:type="paragraph" w:styleId="91">
    <w:name w:val="toc 9"/>
    <w:basedOn w:val="a"/>
    <w:next w:val="a"/>
    <w:autoRedefine/>
    <w:semiHidden/>
    <w:qFormat/>
    <w:rsid w:val="003D4946"/>
    <w:pPr>
      <w:spacing w:after="0" w:line="240" w:lineRule="auto"/>
      <w:ind w:left="1680"/>
    </w:pPr>
    <w:rPr>
      <w:rFonts w:ascii="Times New Roman" w:eastAsia="Times New Roman" w:hAnsi="Times New Roman" w:cs="Times New Roman"/>
      <w:sz w:val="20"/>
      <w:szCs w:val="20"/>
    </w:rPr>
  </w:style>
  <w:style w:type="paragraph" w:styleId="afc">
    <w:name w:val="Body Text"/>
    <w:basedOn w:val="a"/>
    <w:link w:val="afd"/>
    <w:autoRedefine/>
    <w:qFormat/>
    <w:rsid w:val="003D4946"/>
    <w:pPr>
      <w:spacing w:after="120" w:line="240" w:lineRule="auto"/>
    </w:pPr>
    <w:rPr>
      <w:rFonts w:ascii="Times New Roman" w:eastAsia="Times New Roman" w:hAnsi="Times New Roman" w:cs="Times New Roman"/>
      <w:sz w:val="24"/>
      <w:szCs w:val="24"/>
    </w:rPr>
  </w:style>
  <w:style w:type="character" w:customStyle="1" w:styleId="afd">
    <w:name w:val="Основной текст Знак"/>
    <w:basedOn w:val="a0"/>
    <w:link w:val="afc"/>
    <w:qFormat/>
    <w:rsid w:val="003D4946"/>
    <w:rPr>
      <w:rFonts w:ascii="Times New Roman" w:eastAsia="Times New Roman" w:hAnsi="Times New Roman" w:cs="Times New Roman"/>
      <w:sz w:val="24"/>
      <w:szCs w:val="24"/>
    </w:rPr>
  </w:style>
  <w:style w:type="paragraph" w:styleId="11">
    <w:name w:val="toc 1"/>
    <w:basedOn w:val="a"/>
    <w:next w:val="a"/>
    <w:autoRedefine/>
    <w:uiPriority w:val="39"/>
    <w:qFormat/>
    <w:rsid w:val="003D4946"/>
    <w:pPr>
      <w:widowControl w:val="0"/>
      <w:adjustRightInd w:val="0"/>
      <w:spacing w:before="120" w:after="120" w:line="360" w:lineRule="atLeast"/>
      <w:textAlignment w:val="baseline"/>
    </w:pPr>
    <w:rPr>
      <w:rFonts w:ascii="Times New Roman" w:eastAsia="Times New Roman" w:hAnsi="Times New Roman" w:cs="Times New Roman"/>
      <w:b/>
      <w:bCs/>
      <w:caps/>
      <w:sz w:val="20"/>
      <w:szCs w:val="20"/>
    </w:rPr>
  </w:style>
  <w:style w:type="paragraph" w:styleId="33">
    <w:name w:val="toc 3"/>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23">
    <w:name w:val="toc 2"/>
    <w:basedOn w:val="a"/>
    <w:next w:val="a"/>
    <w:autoRedefine/>
    <w:uiPriority w:val="39"/>
    <w:qFormat/>
    <w:rsid w:val="003D4946"/>
    <w:pPr>
      <w:tabs>
        <w:tab w:val="right" w:leader="dot" w:pos="9061"/>
      </w:tabs>
      <w:spacing w:after="0" w:line="240" w:lineRule="auto"/>
      <w:jc w:val="both"/>
    </w:pPr>
    <w:rPr>
      <w:rFonts w:ascii="Times New Roman" w:eastAsia="Times New Roman" w:hAnsi="Times New Roman" w:cs="Times New Roman"/>
      <w:sz w:val="24"/>
      <w:szCs w:val="24"/>
    </w:rPr>
  </w:style>
  <w:style w:type="paragraph" w:styleId="afe">
    <w:name w:val="Body Text First Indent"/>
    <w:basedOn w:val="afc"/>
    <w:link w:val="aff"/>
    <w:autoRedefine/>
    <w:qFormat/>
    <w:rsid w:val="003D4946"/>
    <w:pPr>
      <w:ind w:firstLine="210"/>
    </w:pPr>
  </w:style>
  <w:style w:type="character" w:customStyle="1" w:styleId="aff">
    <w:name w:val="Красная строка Знак"/>
    <w:basedOn w:val="afd"/>
    <w:link w:val="afe"/>
    <w:rsid w:val="003D4946"/>
    <w:rPr>
      <w:rFonts w:ascii="Times New Roman" w:eastAsia="Times New Roman" w:hAnsi="Times New Roman" w:cs="Times New Roman"/>
      <w:sz w:val="24"/>
      <w:szCs w:val="24"/>
    </w:rPr>
  </w:style>
  <w:style w:type="paragraph" w:styleId="aff0">
    <w:name w:val="Body Text Indent"/>
    <w:basedOn w:val="a"/>
    <w:link w:val="aff1"/>
    <w:autoRedefine/>
    <w:qFormat/>
    <w:rsid w:val="003D4946"/>
    <w:pPr>
      <w:spacing w:after="0" w:line="240" w:lineRule="auto"/>
      <w:ind w:left="482"/>
    </w:pPr>
    <w:rPr>
      <w:rFonts w:ascii="Times New Roman" w:eastAsia="Times New Roman" w:hAnsi="Times New Roman" w:cs="Times New Roman"/>
      <w:i/>
      <w:szCs w:val="20"/>
    </w:rPr>
  </w:style>
  <w:style w:type="character" w:customStyle="1" w:styleId="aff1">
    <w:name w:val="Основной текст с отступом Знак"/>
    <w:basedOn w:val="a0"/>
    <w:link w:val="aff0"/>
    <w:rsid w:val="003D4946"/>
    <w:rPr>
      <w:rFonts w:ascii="Times New Roman" w:eastAsia="Times New Roman" w:hAnsi="Times New Roman" w:cs="Times New Roman"/>
      <w:i/>
      <w:szCs w:val="20"/>
    </w:rPr>
  </w:style>
  <w:style w:type="paragraph" w:styleId="aff2">
    <w:name w:val="List Bullet"/>
    <w:basedOn w:val="a"/>
    <w:autoRedefine/>
    <w:qFormat/>
    <w:rsid w:val="003D4946"/>
    <w:pPr>
      <w:tabs>
        <w:tab w:val="left" w:pos="360"/>
      </w:tabs>
      <w:spacing w:after="0" w:line="240" w:lineRule="auto"/>
      <w:ind w:left="360" w:hanging="360"/>
    </w:pPr>
    <w:rPr>
      <w:rFonts w:ascii="Times New Roman" w:eastAsia="Times New Roman" w:hAnsi="Times New Roman" w:cs="Times New Roman"/>
      <w:sz w:val="24"/>
      <w:szCs w:val="24"/>
    </w:rPr>
  </w:style>
  <w:style w:type="paragraph" w:styleId="aff3">
    <w:name w:val="List"/>
    <w:basedOn w:val="a"/>
    <w:autoRedefine/>
    <w:uiPriority w:val="99"/>
    <w:qFormat/>
    <w:rsid w:val="003D4946"/>
    <w:pPr>
      <w:widowControl w:val="0"/>
      <w:tabs>
        <w:tab w:val="left" w:pos="1440"/>
      </w:tabs>
      <w:suppressAutoHyphens/>
      <w:autoSpaceDE w:val="0"/>
      <w:spacing w:before="120" w:after="0" w:line="240" w:lineRule="auto"/>
      <w:ind w:left="1440" w:hanging="360"/>
      <w:jc w:val="both"/>
    </w:pPr>
    <w:rPr>
      <w:rFonts w:ascii="Times New Roman" w:eastAsia="Times New Roman" w:hAnsi="Times New Roman" w:cs="Times New Roman"/>
      <w:sz w:val="26"/>
      <w:szCs w:val="26"/>
      <w:lang w:eastAsia="ar-SA"/>
    </w:rPr>
  </w:style>
  <w:style w:type="paragraph" w:styleId="aff4">
    <w:name w:val="Normal (Web)"/>
    <w:basedOn w:val="a"/>
    <w:autoRedefine/>
    <w:qFormat/>
    <w:rsid w:val="003D4946"/>
    <w:pPr>
      <w:spacing w:before="100" w:beforeAutospacing="1" w:after="100" w:afterAutospacing="1" w:line="240" w:lineRule="auto"/>
    </w:pPr>
    <w:rPr>
      <w:rFonts w:ascii="Verdana" w:eastAsia="Arial Unicode MS" w:hAnsi="Verdana" w:cs="Arial Unicode MS"/>
      <w:sz w:val="11"/>
      <w:szCs w:val="11"/>
    </w:rPr>
  </w:style>
  <w:style w:type="paragraph" w:styleId="34">
    <w:name w:val="Body Text 3"/>
    <w:basedOn w:val="a"/>
    <w:link w:val="35"/>
    <w:autoRedefine/>
    <w:qFormat/>
    <w:rsid w:val="003D4946"/>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D4946"/>
    <w:rPr>
      <w:rFonts w:ascii="Times New Roman" w:eastAsia="Times New Roman" w:hAnsi="Times New Roman" w:cs="Times New Roman"/>
      <w:sz w:val="16"/>
      <w:szCs w:val="16"/>
    </w:rPr>
  </w:style>
  <w:style w:type="paragraph" w:styleId="24">
    <w:name w:val="Body Text Indent 2"/>
    <w:basedOn w:val="a"/>
    <w:link w:val="25"/>
    <w:autoRedefine/>
    <w:qFormat/>
    <w:rsid w:val="003D4946"/>
    <w:pPr>
      <w:widowControl w:val="0"/>
      <w:tabs>
        <w:tab w:val="left" w:pos="420"/>
      </w:tabs>
      <w:spacing w:after="0" w:line="240" w:lineRule="auto"/>
      <w:ind w:firstLine="709"/>
      <w:jc w:val="both"/>
    </w:pPr>
    <w:rPr>
      <w:rFonts w:ascii="Times New Roman" w:eastAsia="Times New Roman" w:hAnsi="Times New Roman" w:cs="Times New Roman"/>
      <w:lang w:eastAsia="zh-CN"/>
    </w:rPr>
  </w:style>
  <w:style w:type="character" w:customStyle="1" w:styleId="25">
    <w:name w:val="Основной текст с отступом 2 Знак"/>
    <w:basedOn w:val="a0"/>
    <w:link w:val="24"/>
    <w:qFormat/>
    <w:rsid w:val="003D4946"/>
    <w:rPr>
      <w:rFonts w:ascii="Times New Roman" w:eastAsia="Times New Roman" w:hAnsi="Times New Roman" w:cs="Times New Roman"/>
      <w:lang w:eastAsia="zh-CN"/>
    </w:rPr>
  </w:style>
  <w:style w:type="paragraph" w:styleId="aff5">
    <w:name w:val="Subtitle"/>
    <w:basedOn w:val="a"/>
    <w:link w:val="aff6"/>
    <w:autoRedefine/>
    <w:qFormat/>
    <w:rsid w:val="003D4946"/>
    <w:pPr>
      <w:spacing w:after="0" w:line="240" w:lineRule="auto"/>
    </w:pPr>
    <w:rPr>
      <w:rFonts w:ascii="Times New Roman" w:eastAsia="Times New Roman" w:hAnsi="Times New Roman" w:cs="Times New Roman"/>
      <w:sz w:val="28"/>
      <w:szCs w:val="20"/>
    </w:rPr>
  </w:style>
  <w:style w:type="character" w:customStyle="1" w:styleId="aff6">
    <w:name w:val="Подзаголовок Знак"/>
    <w:basedOn w:val="a0"/>
    <w:link w:val="aff5"/>
    <w:rsid w:val="003D4946"/>
    <w:rPr>
      <w:rFonts w:ascii="Times New Roman" w:eastAsia="Times New Roman" w:hAnsi="Times New Roman" w:cs="Times New Roman"/>
      <w:sz w:val="28"/>
      <w:szCs w:val="20"/>
    </w:rPr>
  </w:style>
  <w:style w:type="paragraph" w:styleId="aff7">
    <w:name w:val="Block Text"/>
    <w:basedOn w:val="a"/>
    <w:autoRedefine/>
    <w:qFormat/>
    <w:rsid w:val="003D4946"/>
    <w:pPr>
      <w:spacing w:after="0" w:line="240" w:lineRule="auto"/>
      <w:ind w:left="-1701" w:right="-1617" w:firstLine="425"/>
    </w:pPr>
    <w:rPr>
      <w:rFonts w:ascii="Times New Roman" w:eastAsia="Times New Roman" w:hAnsi="Times New Roman" w:cs="Times New Roman"/>
      <w:sz w:val="24"/>
      <w:szCs w:val="20"/>
    </w:rPr>
  </w:style>
  <w:style w:type="paragraph" w:customStyle="1" w:styleId="aff8">
    <w:name w:val="Таблица"/>
    <w:basedOn w:val="af5"/>
    <w:autoRedefine/>
    <w:qFormat/>
    <w:rsid w:val="003D4946"/>
    <w:pPr>
      <w:jc w:val="both"/>
    </w:pPr>
    <w:rPr>
      <w:b w:val="0"/>
      <w:sz w:val="24"/>
    </w:rPr>
  </w:style>
  <w:style w:type="paragraph" w:customStyle="1" w:styleId="aff9">
    <w:name w:val="ОСН"/>
    <w:basedOn w:val="a"/>
    <w:autoRedefine/>
    <w:qFormat/>
    <w:rsid w:val="003D4946"/>
    <w:pPr>
      <w:spacing w:before="60" w:after="60" w:line="240" w:lineRule="auto"/>
      <w:ind w:firstLine="709"/>
      <w:jc w:val="both"/>
    </w:pPr>
    <w:rPr>
      <w:rFonts w:ascii="Times New Roman" w:eastAsia="Times New Roman" w:hAnsi="Times New Roman" w:cs="Times New Roman"/>
      <w:sz w:val="24"/>
      <w:szCs w:val="24"/>
    </w:rPr>
  </w:style>
  <w:style w:type="paragraph" w:customStyle="1" w:styleId="ConsNormal">
    <w:name w:val="ConsNormal"/>
    <w:autoRedefine/>
    <w:qFormat/>
    <w:rsid w:val="003D4946"/>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10">
    <w:name w:val="Название11"/>
    <w:basedOn w:val="a"/>
    <w:link w:val="affa"/>
    <w:autoRedefine/>
    <w:qFormat/>
    <w:rsid w:val="003D4946"/>
    <w:pPr>
      <w:spacing w:after="0" w:line="240" w:lineRule="auto"/>
      <w:jc w:val="center"/>
    </w:pPr>
    <w:rPr>
      <w:rFonts w:ascii="Times New Roman" w:eastAsia="Times New Roman" w:hAnsi="Times New Roman" w:cs="Times New Roman"/>
      <w:b/>
      <w:bCs/>
      <w:sz w:val="24"/>
      <w:szCs w:val="24"/>
    </w:rPr>
  </w:style>
  <w:style w:type="character" w:customStyle="1" w:styleId="affa">
    <w:name w:val="Название Знак"/>
    <w:basedOn w:val="a0"/>
    <w:link w:val="110"/>
    <w:autoRedefine/>
    <w:qFormat/>
    <w:rsid w:val="003D4946"/>
    <w:rPr>
      <w:rFonts w:ascii="Times New Roman" w:eastAsia="Times New Roman" w:hAnsi="Times New Roman" w:cs="Times New Roman"/>
      <w:b/>
      <w:bCs/>
      <w:sz w:val="24"/>
      <w:szCs w:val="24"/>
    </w:rPr>
  </w:style>
  <w:style w:type="paragraph" w:customStyle="1" w:styleId="Normal">
    <w:name w:val="Normal Знак Знак Знак Знак Знак"/>
    <w:link w:val="Normal0"/>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0">
    <w:name w:val="Normal Знак Знак Знак Знак Знак Знак"/>
    <w:basedOn w:val="a0"/>
    <w:link w:val="Normal"/>
    <w:autoRedefine/>
    <w:qFormat/>
    <w:rsid w:val="003D4946"/>
    <w:rPr>
      <w:rFonts w:ascii="Times New Roman" w:eastAsia="Times New Roman" w:hAnsi="Times New Roman" w:cs="Times New Roman"/>
      <w:snapToGrid w:val="0"/>
      <w:sz w:val="24"/>
      <w:szCs w:val="24"/>
    </w:rPr>
  </w:style>
  <w:style w:type="paragraph" w:customStyle="1" w:styleId="12">
    <w:name w:val="Основной текст1"/>
    <w:basedOn w:val="a"/>
    <w:autoRedefine/>
    <w:qFormat/>
    <w:rsid w:val="003D4946"/>
    <w:pPr>
      <w:spacing w:before="60" w:after="60" w:line="240" w:lineRule="auto"/>
      <w:ind w:firstLine="567"/>
      <w:jc w:val="both"/>
    </w:pPr>
    <w:rPr>
      <w:rFonts w:ascii="Arial" w:eastAsia="Times New Roman" w:hAnsi="Arial" w:cs="Times New Roman"/>
      <w:szCs w:val="20"/>
      <w:lang w:val="en-US"/>
    </w:rPr>
  </w:style>
  <w:style w:type="paragraph" w:customStyle="1" w:styleId="Normal1">
    <w:name w:val="Normal Знак Знак"/>
    <w:autoRedefine/>
    <w:qFormat/>
    <w:rsid w:val="003D4946"/>
    <w:pPr>
      <w:snapToGrid w:val="0"/>
      <w:spacing w:before="100" w:after="100" w:line="240" w:lineRule="auto"/>
      <w:jc w:val="both"/>
    </w:pPr>
    <w:rPr>
      <w:rFonts w:ascii="Times New Roman" w:eastAsia="Times New Roman" w:hAnsi="Times New Roman" w:cs="Times New Roman"/>
      <w:sz w:val="24"/>
      <w:szCs w:val="20"/>
    </w:rPr>
  </w:style>
  <w:style w:type="paragraph" w:customStyle="1" w:styleId="pcss">
    <w:name w:val="pcss"/>
    <w:basedOn w:val="a"/>
    <w:autoRedefine/>
    <w:qFormat/>
    <w:rsid w:val="003D4946"/>
    <w:pPr>
      <w:spacing w:before="100" w:beforeAutospacing="1" w:after="100" w:afterAutospacing="1" w:line="240" w:lineRule="auto"/>
      <w:ind w:firstLine="720"/>
    </w:pPr>
    <w:rPr>
      <w:rFonts w:ascii="Verdana" w:eastAsia="Times New Roman" w:hAnsi="Verdana" w:cs="Times New Roman"/>
      <w:sz w:val="18"/>
      <w:szCs w:val="18"/>
    </w:rPr>
  </w:style>
  <w:style w:type="paragraph" w:customStyle="1" w:styleId="ConsPlusNormal">
    <w:name w:val="ConsPlusNormal"/>
    <w:autoRedefine/>
    <w:qFormat/>
    <w:rsid w:val="003D494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Iauiue">
    <w:name w:val="Iau?iue"/>
    <w:autoRedefine/>
    <w:qFormat/>
    <w:rsid w:val="003D494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ormal2">
    <w:name w:val="Normal Знак"/>
    <w:link w:val="Normal10"/>
    <w:autoRedefine/>
    <w:qFormat/>
    <w:rsid w:val="003D4946"/>
    <w:pPr>
      <w:spacing w:after="0" w:line="240" w:lineRule="auto"/>
    </w:pPr>
    <w:rPr>
      <w:rFonts w:ascii="Times New Roman" w:eastAsia="Times New Roman" w:hAnsi="Times New Roman" w:cs="Times New Roman"/>
      <w:szCs w:val="24"/>
    </w:rPr>
  </w:style>
  <w:style w:type="character" w:customStyle="1" w:styleId="Normal10">
    <w:name w:val="Normal Знак Знак1"/>
    <w:basedOn w:val="a0"/>
    <w:link w:val="Normal2"/>
    <w:autoRedefine/>
    <w:qFormat/>
    <w:rsid w:val="003D4946"/>
    <w:rPr>
      <w:rFonts w:ascii="Times New Roman" w:eastAsia="Times New Roman" w:hAnsi="Times New Roman" w:cs="Times New Roman"/>
      <w:szCs w:val="24"/>
    </w:rPr>
  </w:style>
  <w:style w:type="paragraph" w:customStyle="1" w:styleId="120">
    <w:name w:val="Стиль 12 пт"/>
    <w:basedOn w:val="a"/>
    <w:autoRedefine/>
    <w:qFormat/>
    <w:rsid w:val="003D4946"/>
    <w:pPr>
      <w:spacing w:before="120" w:after="0" w:line="240" w:lineRule="auto"/>
      <w:ind w:firstLine="709"/>
      <w:jc w:val="both"/>
    </w:pPr>
    <w:rPr>
      <w:rFonts w:ascii="Times New Roman" w:eastAsia="Times New Roman" w:hAnsi="Times New Roman" w:cs="Times New Roman"/>
      <w:sz w:val="26"/>
      <w:szCs w:val="24"/>
    </w:rPr>
  </w:style>
  <w:style w:type="paragraph" w:customStyle="1" w:styleId="affb">
    <w:name w:val="список"/>
    <w:basedOn w:val="a"/>
    <w:autoRedefine/>
    <w:qFormat/>
    <w:rsid w:val="003D4946"/>
    <w:pPr>
      <w:tabs>
        <w:tab w:val="left" w:pos="360"/>
        <w:tab w:val="left" w:pos="2410"/>
      </w:tabs>
      <w:spacing w:after="0" w:line="240" w:lineRule="auto"/>
      <w:jc w:val="both"/>
    </w:pPr>
    <w:rPr>
      <w:rFonts w:ascii="Times New Roman" w:eastAsia="Times New Roman" w:hAnsi="Times New Roman" w:cs="Times New Roman"/>
    </w:rPr>
  </w:style>
  <w:style w:type="paragraph" w:customStyle="1" w:styleId="affc">
    <w:name w:val="Названия таблиц Знак"/>
    <w:basedOn w:val="a"/>
    <w:link w:val="affd"/>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character" w:customStyle="1" w:styleId="affd">
    <w:name w:val="Названия таблиц Знак Знак"/>
    <w:basedOn w:val="a0"/>
    <w:link w:val="affc"/>
    <w:autoRedefine/>
    <w:qFormat/>
    <w:rsid w:val="003D4946"/>
    <w:rPr>
      <w:rFonts w:ascii="Bookman Old Style" w:eastAsia="Times New Roman" w:hAnsi="Bookman Old Style" w:cs="Times New Roman"/>
      <w:b/>
      <w:color w:val="000000"/>
      <w:sz w:val="24"/>
      <w:szCs w:val="24"/>
    </w:rPr>
  </w:style>
  <w:style w:type="paragraph" w:customStyle="1" w:styleId="affe">
    <w:name w:val="Заголовок_таблицы"/>
    <w:basedOn w:val="a"/>
    <w:autoRedefine/>
    <w:qFormat/>
    <w:rsid w:val="003D4946"/>
    <w:pPr>
      <w:spacing w:after="0" w:line="240" w:lineRule="auto"/>
      <w:jc w:val="center"/>
    </w:pPr>
    <w:rPr>
      <w:rFonts w:ascii="Arial" w:eastAsia="Times New Roman" w:hAnsi="Arial" w:cs="Times New Roman"/>
      <w:b/>
      <w:i/>
      <w:sz w:val="18"/>
    </w:rPr>
  </w:style>
  <w:style w:type="paragraph" w:customStyle="1" w:styleId="Normal3">
    <w:name w:val="Normal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afff">
    <w:name w:val="Текст акта"/>
    <w:autoRedefine/>
    <w:qFormat/>
    <w:rsid w:val="003D4946"/>
    <w:pPr>
      <w:widowControl w:val="0"/>
      <w:spacing w:after="0" w:line="240" w:lineRule="auto"/>
      <w:ind w:firstLine="709"/>
      <w:jc w:val="both"/>
    </w:pPr>
    <w:rPr>
      <w:rFonts w:ascii="Times New Roman" w:eastAsia="Times New Roman" w:hAnsi="Times New Roman" w:cs="Times New Roman"/>
      <w:sz w:val="28"/>
      <w:szCs w:val="24"/>
    </w:rPr>
  </w:style>
  <w:style w:type="paragraph" w:customStyle="1" w:styleId="Normal4">
    <w:name w:val="Стиль Normal + полужирный"/>
    <w:basedOn w:val="a"/>
    <w:autoRedefine/>
    <w:qFormat/>
    <w:rsid w:val="003D4946"/>
    <w:pPr>
      <w:spacing w:after="0" w:line="240" w:lineRule="auto"/>
      <w:ind w:left="-113" w:right="-113"/>
      <w:jc w:val="center"/>
    </w:pPr>
    <w:rPr>
      <w:rFonts w:ascii="Times New Roman" w:eastAsia="Times New Roman" w:hAnsi="Times New Roman" w:cs="Times New Roman"/>
      <w:b/>
      <w:bCs/>
      <w:sz w:val="20"/>
      <w:szCs w:val="20"/>
    </w:rPr>
  </w:style>
  <w:style w:type="paragraph" w:customStyle="1" w:styleId="xl24">
    <w:name w:val="xl24"/>
    <w:basedOn w:val="a"/>
    <w:autoRedefine/>
    <w:qFormat/>
    <w:rsid w:val="003D4946"/>
    <w:pPr>
      <w:spacing w:after="0" w:line="240" w:lineRule="auto"/>
      <w:jc w:val="center"/>
    </w:pPr>
    <w:rPr>
      <w:rFonts w:ascii="Times New Roman" w:eastAsia="Times New Roman" w:hAnsi="Times New Roman" w:cs="Times New Roman"/>
      <w:sz w:val="24"/>
      <w:szCs w:val="24"/>
    </w:rPr>
  </w:style>
  <w:style w:type="paragraph" w:customStyle="1" w:styleId="xl25">
    <w:name w:val="xl25"/>
    <w:basedOn w:val="a"/>
    <w:autoRedefine/>
    <w:qFormat/>
    <w:rsid w:val="003D4946"/>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autoRedefine/>
    <w:qFormat/>
    <w:rsid w:val="003D494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
    <w:name w:val="style1"/>
    <w:basedOn w:val="a"/>
    <w:autoRedefine/>
    <w:qFormat/>
    <w:rsid w:val="003D4946"/>
    <w:pPr>
      <w:spacing w:before="100" w:beforeAutospacing="1" w:after="100" w:afterAutospacing="1" w:line="240" w:lineRule="auto"/>
    </w:pPr>
    <w:rPr>
      <w:rFonts w:ascii="Arial" w:eastAsia="Times New Roman" w:hAnsi="Arial" w:cs="Arial"/>
      <w:sz w:val="24"/>
      <w:szCs w:val="24"/>
    </w:rPr>
  </w:style>
  <w:style w:type="paragraph" w:customStyle="1" w:styleId="textn">
    <w:name w:val="textn"/>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1">
    <w:name w:val="Стиль 12 пт Знак Знак Знак"/>
    <w:basedOn w:val="a"/>
    <w:link w:val="122"/>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character" w:customStyle="1" w:styleId="122">
    <w:name w:val="Стиль 12 пт Знак Знак Знак Знак"/>
    <w:basedOn w:val="a0"/>
    <w:link w:val="121"/>
    <w:autoRedefine/>
    <w:qFormat/>
    <w:rsid w:val="003D4946"/>
    <w:rPr>
      <w:rFonts w:ascii="Times New Roman" w:eastAsia="Times New Roman" w:hAnsi="Times New Roman" w:cs="Times New Roman"/>
      <w:color w:val="000000"/>
      <w:sz w:val="26"/>
      <w:szCs w:val="24"/>
    </w:rPr>
  </w:style>
  <w:style w:type="paragraph" w:customStyle="1" w:styleId="afff0">
    <w:name w:val="Текст письма"/>
    <w:basedOn w:val="a"/>
    <w:autoRedefine/>
    <w:qFormat/>
    <w:rsid w:val="003D4946"/>
    <w:pPr>
      <w:spacing w:after="0" w:line="360" w:lineRule="exact"/>
      <w:ind w:firstLine="709"/>
      <w:jc w:val="both"/>
    </w:pPr>
    <w:rPr>
      <w:rFonts w:ascii="Times New Roman" w:eastAsia="Times New Roman" w:hAnsi="Times New Roman" w:cs="Times New Roman"/>
      <w:sz w:val="28"/>
      <w:szCs w:val="24"/>
    </w:rPr>
  </w:style>
  <w:style w:type="paragraph" w:customStyle="1" w:styleId="afff1">
    <w:name w:val="заполнение таблиц"/>
    <w:basedOn w:val="a"/>
    <w:autoRedefine/>
    <w:qFormat/>
    <w:rsid w:val="003D4946"/>
    <w:pPr>
      <w:spacing w:after="0" w:line="240" w:lineRule="auto"/>
    </w:pPr>
    <w:rPr>
      <w:rFonts w:ascii="Arial" w:eastAsia="Times New Roman" w:hAnsi="Arial" w:cs="Times New Roman"/>
      <w:sz w:val="18"/>
    </w:rPr>
  </w:style>
  <w:style w:type="paragraph" w:customStyle="1" w:styleId="13">
    <w:name w:val="Стиль1"/>
    <w:basedOn w:val="afc"/>
    <w:autoRedefine/>
    <w:qFormat/>
    <w:rsid w:val="003D4946"/>
    <w:pPr>
      <w:spacing w:after="0"/>
      <w:jc w:val="both"/>
    </w:pPr>
    <w:rPr>
      <w:sz w:val="26"/>
      <w:szCs w:val="20"/>
    </w:rPr>
  </w:style>
  <w:style w:type="paragraph" w:customStyle="1" w:styleId="ConsPlusNonformat">
    <w:name w:val="ConsPlusNonformat"/>
    <w:autoRedefine/>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autoRedefine/>
    <w:uiPriority w:val="99"/>
    <w:qFormat/>
    <w:rsid w:val="003D494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1">
    <w:name w:val="Стиль4 Знак Знак Знак"/>
    <w:basedOn w:val="aff0"/>
    <w:link w:val="42"/>
    <w:autoRedefine/>
    <w:qFormat/>
    <w:rsid w:val="003D4946"/>
    <w:pPr>
      <w:ind w:left="0" w:firstLine="708"/>
      <w:jc w:val="both"/>
    </w:pPr>
    <w:rPr>
      <w:i w:val="0"/>
      <w:sz w:val="24"/>
      <w:szCs w:val="24"/>
    </w:rPr>
  </w:style>
  <w:style w:type="character" w:customStyle="1" w:styleId="42">
    <w:name w:val="Стиль4 Знак Знак Знак Знак"/>
    <w:basedOn w:val="a0"/>
    <w:link w:val="41"/>
    <w:autoRedefine/>
    <w:qFormat/>
    <w:locked/>
    <w:rsid w:val="003D4946"/>
    <w:rPr>
      <w:rFonts w:ascii="Times New Roman" w:eastAsia="Times New Roman" w:hAnsi="Times New Roman" w:cs="Times New Roman"/>
      <w:sz w:val="24"/>
      <w:szCs w:val="24"/>
    </w:rPr>
  </w:style>
  <w:style w:type="paragraph" w:customStyle="1" w:styleId="Normal5">
    <w:name w:val="Normal Знак Знак Знак Знак"/>
    <w:autoRedefine/>
    <w:qFormat/>
    <w:rsid w:val="003D4946"/>
    <w:pPr>
      <w:spacing w:before="100" w:after="100" w:line="240" w:lineRule="auto"/>
      <w:jc w:val="both"/>
    </w:pPr>
    <w:rPr>
      <w:rFonts w:ascii="Times New Roman" w:eastAsia="Times New Roman" w:hAnsi="Times New Roman" w:cs="Times New Roman"/>
      <w:snapToGrid w:val="0"/>
      <w:sz w:val="24"/>
      <w:szCs w:val="24"/>
    </w:rPr>
  </w:style>
  <w:style w:type="paragraph" w:customStyle="1" w:styleId="14">
    <w:name w:val="Обычный1"/>
    <w:autoRedefine/>
    <w:qFormat/>
    <w:rsid w:val="003D4946"/>
    <w:pPr>
      <w:spacing w:after="0" w:line="240" w:lineRule="auto"/>
    </w:pPr>
    <w:rPr>
      <w:rFonts w:ascii="Times New Roman" w:eastAsia="Times New Roman" w:hAnsi="Times New Roman" w:cs="Times New Roman"/>
      <w:szCs w:val="24"/>
    </w:rPr>
  </w:style>
  <w:style w:type="paragraph" w:customStyle="1" w:styleId="afff2">
    <w:name w:val="Названия таблиц"/>
    <w:basedOn w:val="a"/>
    <w:autoRedefine/>
    <w:qFormat/>
    <w:rsid w:val="003D4946"/>
    <w:pPr>
      <w:suppressAutoHyphens/>
      <w:spacing w:before="20" w:after="60" w:line="240" w:lineRule="auto"/>
      <w:jc w:val="center"/>
    </w:pPr>
    <w:rPr>
      <w:rFonts w:ascii="Bookman Old Style" w:eastAsia="Times New Roman" w:hAnsi="Bookman Old Style" w:cs="Times New Roman"/>
      <w:b/>
      <w:color w:val="000000"/>
      <w:sz w:val="24"/>
      <w:szCs w:val="24"/>
    </w:rPr>
  </w:style>
  <w:style w:type="paragraph" w:customStyle="1" w:styleId="123">
    <w:name w:val="Стиль 12 пт Знак Знак"/>
    <w:basedOn w:val="a"/>
    <w:autoRedefine/>
    <w:qFormat/>
    <w:rsid w:val="003D4946"/>
    <w:pPr>
      <w:spacing w:before="120" w:after="0" w:line="240" w:lineRule="auto"/>
      <w:ind w:firstLine="709"/>
      <w:jc w:val="both"/>
    </w:pPr>
    <w:rPr>
      <w:rFonts w:ascii="Times New Roman" w:eastAsia="Times New Roman" w:hAnsi="Times New Roman" w:cs="Times New Roman"/>
      <w:color w:val="000000"/>
      <w:sz w:val="26"/>
      <w:szCs w:val="24"/>
    </w:rPr>
  </w:style>
  <w:style w:type="paragraph" w:customStyle="1" w:styleId="43">
    <w:name w:val="Стиль4 Знак Знак"/>
    <w:basedOn w:val="aff0"/>
    <w:autoRedefine/>
    <w:qFormat/>
    <w:rsid w:val="003D4946"/>
    <w:pPr>
      <w:ind w:left="0" w:firstLine="708"/>
      <w:jc w:val="both"/>
    </w:pPr>
    <w:rPr>
      <w:i w:val="0"/>
      <w:sz w:val="24"/>
      <w:szCs w:val="24"/>
    </w:rPr>
  </w:style>
  <w:style w:type="paragraph" w:customStyle="1" w:styleId="44">
    <w:name w:val="Стиль4"/>
    <w:basedOn w:val="aff0"/>
    <w:autoRedefine/>
    <w:qFormat/>
    <w:rsid w:val="003D4946"/>
    <w:pPr>
      <w:ind w:left="0" w:firstLine="708"/>
      <w:jc w:val="both"/>
    </w:pPr>
    <w:rPr>
      <w:i w:val="0"/>
      <w:sz w:val="24"/>
      <w:szCs w:val="24"/>
    </w:rPr>
  </w:style>
  <w:style w:type="paragraph" w:styleId="afff3">
    <w:name w:val="List Paragraph"/>
    <w:basedOn w:val="a"/>
    <w:link w:val="afff4"/>
    <w:autoRedefine/>
    <w:qFormat/>
    <w:rsid w:val="003D4946"/>
    <w:pPr>
      <w:spacing w:after="0" w:line="240" w:lineRule="auto"/>
      <w:ind w:firstLine="851"/>
      <w:contextualSpacing/>
      <w:jc w:val="both"/>
    </w:pPr>
    <w:rPr>
      <w:rFonts w:ascii="Calibri" w:eastAsia="Calibri" w:hAnsi="Calibri" w:cs="Times New Roman"/>
      <w:lang w:eastAsia="en-US"/>
    </w:rPr>
  </w:style>
  <w:style w:type="character" w:customStyle="1" w:styleId="afff4">
    <w:name w:val="Абзац списка Знак"/>
    <w:link w:val="afff3"/>
    <w:qFormat/>
    <w:locked/>
    <w:rsid w:val="003D4946"/>
    <w:rPr>
      <w:rFonts w:ascii="Calibri" w:eastAsia="Calibri" w:hAnsi="Calibri" w:cs="Times New Roman"/>
      <w:lang w:eastAsia="en-US"/>
    </w:rPr>
  </w:style>
  <w:style w:type="paragraph" w:customStyle="1" w:styleId="afff5">
    <w:name w:val="Знак Знак Знак Знак Знак Знак Знак Знак Знак 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6">
    <w:name w:val="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ConsPlusTitle">
    <w:name w:val="ConsPlusTitle"/>
    <w:autoRedefine/>
    <w:uiPriority w:val="99"/>
    <w:qFormat/>
    <w:rsid w:val="003D4946"/>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afff7">
    <w:name w:val="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5">
    <w:name w:val="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45">
    <w:name w:val="Стиль4 Знак"/>
    <w:basedOn w:val="aff0"/>
    <w:autoRedefine/>
    <w:qFormat/>
    <w:rsid w:val="003D4946"/>
    <w:pPr>
      <w:ind w:left="0" w:firstLine="708"/>
      <w:jc w:val="both"/>
    </w:pPr>
    <w:rPr>
      <w:i w:val="0"/>
      <w:sz w:val="24"/>
      <w:szCs w:val="24"/>
    </w:rPr>
  </w:style>
  <w:style w:type="character" w:customStyle="1" w:styleId="afff8">
    <w:name w:val="Символ сноски"/>
    <w:basedOn w:val="a0"/>
    <w:autoRedefine/>
    <w:qFormat/>
    <w:rsid w:val="003D4946"/>
    <w:rPr>
      <w:vertAlign w:val="superscript"/>
    </w:rPr>
  </w:style>
  <w:style w:type="paragraph" w:customStyle="1" w:styleId="text">
    <w:name w:val="text"/>
    <w:basedOn w:val="a"/>
    <w:autoRedefine/>
    <w:qFormat/>
    <w:rsid w:val="003D4946"/>
    <w:pPr>
      <w:spacing w:after="0" w:line="240" w:lineRule="auto"/>
      <w:ind w:left="105" w:right="105" w:firstLine="397"/>
      <w:jc w:val="both"/>
    </w:pPr>
    <w:rPr>
      <w:rFonts w:ascii="Trebuchet MS" w:eastAsia="Times New Roman" w:hAnsi="Trebuchet MS" w:cs="Times New Roman"/>
      <w:sz w:val="24"/>
      <w:szCs w:val="24"/>
    </w:rPr>
  </w:style>
  <w:style w:type="paragraph" w:customStyle="1" w:styleId="310">
    <w:name w:val="Основной текст с отступом 31"/>
    <w:basedOn w:val="a"/>
    <w:autoRedefine/>
    <w:qFormat/>
    <w:rsid w:val="003D494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Знак Знак Знак Знак Знак Знак Знак Знак Знак Знак1"/>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71">
    <w:name w:val="7."/>
    <w:autoRedefine/>
    <w:qFormat/>
    <w:rsid w:val="003D4946"/>
    <w:pPr>
      <w:widowControl w:val="0"/>
      <w:spacing w:before="20" w:after="0" w:line="240" w:lineRule="auto"/>
      <w:jc w:val="center"/>
    </w:pPr>
    <w:rPr>
      <w:rFonts w:ascii="Times New Roman" w:eastAsia="Times New Roman" w:hAnsi="Times New Roman" w:cs="Times New Roman"/>
      <w:b/>
      <w:szCs w:val="20"/>
    </w:rPr>
  </w:style>
  <w:style w:type="paragraph" w:customStyle="1" w:styleId="17">
    <w:name w:val="Знак1"/>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8">
    <w:name w:val="Знак Знак Знак1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6">
    <w:name w:val="Знак Знак Знак Знак Знак Знак2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19">
    <w:name w:val="Знак Знак Знак Знак Знак Знак1"/>
    <w:basedOn w:val="a0"/>
    <w:autoRedefine/>
    <w:qFormat/>
    <w:rsid w:val="003D4946"/>
    <w:rPr>
      <w:sz w:val="24"/>
      <w:szCs w:val="24"/>
      <w:lang w:val="ru-RU" w:eastAsia="ru-RU" w:bidi="ar-SA"/>
    </w:rPr>
  </w:style>
  <w:style w:type="paragraph" w:customStyle="1" w:styleId="36">
    <w:name w:val="Знак3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1a">
    <w:name w:val="Знак Знак Знак Знак1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character" w:customStyle="1" w:styleId="afff9">
    <w:name w:val="Знак Знак Знак Знак Знак Знак Знак Знак Знак Знак Знак Знак Знак Знак"/>
    <w:basedOn w:val="a0"/>
    <w:autoRedefine/>
    <w:qFormat/>
    <w:rsid w:val="003D4946"/>
    <w:rPr>
      <w:sz w:val="24"/>
      <w:szCs w:val="24"/>
      <w:lang w:val="ru-RU" w:eastAsia="ru-RU" w:bidi="ar-SA"/>
    </w:rPr>
  </w:style>
  <w:style w:type="paragraph" w:customStyle="1" w:styleId="afffa">
    <w:name w:val="Знак Знак Знак Знак"/>
    <w:basedOn w:val="a"/>
    <w:autoRedefine/>
    <w:qFormat/>
    <w:rsid w:val="003D494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7">
    <w:name w:val="Знак Знак Знак Знак Знак Знак2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8">
    <w:name w:val="Знак Знак Знак2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b">
    <w:name w:val="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210">
    <w:name w:val="Основной текст 21"/>
    <w:basedOn w:val="a"/>
    <w:autoRedefine/>
    <w:qFormat/>
    <w:rsid w:val="003D4946"/>
    <w:pPr>
      <w:widowControl w:val="0"/>
      <w:suppressAutoHyphens/>
      <w:spacing w:after="120" w:line="480" w:lineRule="auto"/>
      <w:jc w:val="both"/>
      <w:textAlignment w:val="baseline"/>
    </w:pPr>
    <w:rPr>
      <w:rFonts w:ascii="Times New Roman" w:eastAsia="Times New Roman" w:hAnsi="Times New Roman" w:cs="Times New Roman"/>
      <w:sz w:val="20"/>
      <w:szCs w:val="20"/>
      <w:lang w:eastAsia="ar-SA"/>
    </w:rPr>
  </w:style>
  <w:style w:type="character" w:customStyle="1" w:styleId="apple-style-span">
    <w:name w:val="apple-style-span"/>
    <w:basedOn w:val="a0"/>
    <w:autoRedefine/>
    <w:qFormat/>
    <w:rsid w:val="003D4946"/>
  </w:style>
  <w:style w:type="paragraph" w:customStyle="1" w:styleId="afffc">
    <w:name w:val="Содержимое таблицы"/>
    <w:basedOn w:val="a"/>
    <w:autoRedefine/>
    <w:qFormat/>
    <w:rsid w:val="003D4946"/>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apple-converted-space">
    <w:name w:val="apple-converted-space"/>
    <w:basedOn w:val="a0"/>
    <w:autoRedefine/>
    <w:qFormat/>
    <w:rsid w:val="003D4946"/>
  </w:style>
  <w:style w:type="paragraph" w:customStyle="1" w:styleId="1b">
    <w:name w:val="Обычный (веб)1"/>
    <w:basedOn w:val="a"/>
    <w:autoRedefine/>
    <w:qFormat/>
    <w:rsid w:val="003D4946"/>
    <w:pPr>
      <w:spacing w:after="225" w:line="336" w:lineRule="atLeast"/>
    </w:pPr>
    <w:rPr>
      <w:rFonts w:ascii="Times New Roman" w:eastAsia="Times New Roman" w:hAnsi="Times New Roman" w:cs="Times New Roman"/>
      <w:sz w:val="24"/>
      <w:szCs w:val="24"/>
    </w:rPr>
  </w:style>
  <w:style w:type="paragraph" w:customStyle="1" w:styleId="msonormalcxspmiddle">
    <w:name w:val="msonormalcxspmiddle"/>
    <w:basedOn w:val="a"/>
    <w:link w:val="msonormalcxspmiddleChar"/>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normalcxspmiddleChar">
    <w:name w:val="msonormalcxspmiddle Char"/>
    <w:link w:val="msonormalcxspmiddle"/>
    <w:autoRedefine/>
    <w:qFormat/>
    <w:rsid w:val="003D4946"/>
    <w:rPr>
      <w:rFonts w:ascii="Times New Roman" w:eastAsia="Times New Roman" w:hAnsi="Times New Roman" w:cs="Times New Roman"/>
      <w:sz w:val="24"/>
      <w:szCs w:val="24"/>
    </w:rPr>
  </w:style>
  <w:style w:type="paragraph" w:customStyle="1" w:styleId="msonormalcxspmiddlecxsplast">
    <w:name w:val="msonormalcxspmiddlecxsplast"/>
    <w:basedOn w:val="a"/>
    <w:autoRedefine/>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нак Знак Знак2 Знак Знак Знак Знак Знак Знак Знак1"/>
    <w:basedOn w:val="a"/>
    <w:autoRedefine/>
    <w:qFormat/>
    <w:rsid w:val="003D4946"/>
    <w:pPr>
      <w:suppressAutoHyphens/>
      <w:spacing w:before="100" w:after="100" w:line="240" w:lineRule="auto"/>
    </w:pPr>
    <w:rPr>
      <w:rFonts w:ascii="Verdana" w:eastAsia="Times New Roman" w:hAnsi="Verdana" w:cs="Verdana"/>
      <w:sz w:val="20"/>
      <w:szCs w:val="20"/>
      <w:lang w:val="en-US" w:eastAsia="en-US"/>
    </w:rPr>
  </w:style>
  <w:style w:type="paragraph" w:customStyle="1" w:styleId="afffd">
    <w:name w:val="Знак Знак Знак Знак Знак Знак Знак Знак Знак Знак Знак Знак Знак Знак Знак Знак Знак Знак Знак Знак Знак Знак"/>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e">
    <w:name w:val="Абзац"/>
    <w:basedOn w:val="a"/>
    <w:link w:val="affff"/>
    <w:autoRedefine/>
    <w:qFormat/>
    <w:rsid w:val="003D4946"/>
    <w:pPr>
      <w:spacing w:before="6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basedOn w:val="a0"/>
    <w:link w:val="afffe"/>
    <w:autoRedefine/>
    <w:qFormat/>
    <w:rsid w:val="003D4946"/>
    <w:rPr>
      <w:rFonts w:ascii="Times New Roman" w:eastAsia="Times New Roman" w:hAnsi="Times New Roman" w:cs="Times New Roman"/>
      <w:sz w:val="24"/>
      <w:szCs w:val="24"/>
    </w:rPr>
  </w:style>
  <w:style w:type="paragraph" w:customStyle="1" w:styleId="29">
    <w:name w:val="Список_маркерный_2_уровень"/>
    <w:basedOn w:val="aff3"/>
    <w:link w:val="2a"/>
    <w:autoRedefine/>
    <w:qFormat/>
    <w:rsid w:val="003D4946"/>
    <w:pPr>
      <w:widowControl/>
      <w:suppressAutoHyphens w:val="0"/>
      <w:autoSpaceDE/>
      <w:spacing w:before="0" w:after="60"/>
      <w:ind w:left="737" w:firstLine="57"/>
    </w:pPr>
    <w:rPr>
      <w:snapToGrid w:val="0"/>
      <w:sz w:val="24"/>
      <w:szCs w:val="24"/>
      <w:lang w:eastAsia="ru-RU"/>
    </w:rPr>
  </w:style>
  <w:style w:type="character" w:customStyle="1" w:styleId="2a">
    <w:name w:val="Список_маркерный_2_уровень Знак"/>
    <w:basedOn w:val="a0"/>
    <w:link w:val="29"/>
    <w:autoRedefine/>
    <w:qFormat/>
    <w:rsid w:val="003D4946"/>
    <w:rPr>
      <w:rFonts w:ascii="Times New Roman" w:eastAsia="Times New Roman" w:hAnsi="Times New Roman" w:cs="Times New Roman"/>
      <w:snapToGrid w:val="0"/>
      <w:sz w:val="24"/>
      <w:szCs w:val="24"/>
    </w:rPr>
  </w:style>
  <w:style w:type="paragraph" w:customStyle="1" w:styleId="1c">
    <w:name w:val="Список_маркерный_1_уровень"/>
    <w:basedOn w:val="29"/>
    <w:link w:val="1d"/>
    <w:autoRedefine/>
    <w:qFormat/>
    <w:rsid w:val="003D4946"/>
    <w:pPr>
      <w:ind w:left="360" w:hanging="397"/>
    </w:pPr>
  </w:style>
  <w:style w:type="character" w:customStyle="1" w:styleId="1d">
    <w:name w:val="Список_маркерный_1_уровень Знак"/>
    <w:basedOn w:val="a0"/>
    <w:link w:val="1c"/>
    <w:autoRedefine/>
    <w:qFormat/>
    <w:rsid w:val="003D4946"/>
    <w:rPr>
      <w:rFonts w:ascii="Times New Roman" w:eastAsia="Times New Roman" w:hAnsi="Times New Roman" w:cs="Times New Roman"/>
      <w:snapToGrid w:val="0"/>
      <w:sz w:val="24"/>
      <w:szCs w:val="24"/>
    </w:rPr>
  </w:style>
  <w:style w:type="paragraph" w:customStyle="1" w:styleId="2b">
    <w:name w:val="Список_маркер_2ур"/>
    <w:basedOn w:val="1c"/>
    <w:autoRedefine/>
    <w:qFormat/>
    <w:locked/>
    <w:rsid w:val="003D4946"/>
    <w:pPr>
      <w:numPr>
        <w:ilvl w:val="2"/>
      </w:numPr>
      <w:tabs>
        <w:tab w:val="left" w:pos="1800"/>
      </w:tabs>
      <w:ind w:left="1800" w:hanging="360"/>
    </w:pPr>
  </w:style>
  <w:style w:type="paragraph" w:customStyle="1" w:styleId="111">
    <w:name w:val="Табличный_боковик_11"/>
    <w:basedOn w:val="a"/>
    <w:link w:val="112"/>
    <w:autoRedefine/>
    <w:qFormat/>
    <w:rsid w:val="003D4946"/>
    <w:pPr>
      <w:spacing w:after="0" w:line="240" w:lineRule="auto"/>
    </w:pPr>
    <w:rPr>
      <w:rFonts w:ascii="Times New Roman" w:eastAsia="Times New Roman" w:hAnsi="Times New Roman" w:cs="Times New Roman"/>
      <w:szCs w:val="24"/>
    </w:rPr>
  </w:style>
  <w:style w:type="character" w:customStyle="1" w:styleId="112">
    <w:name w:val="Табличный_боковик_11 Знак"/>
    <w:basedOn w:val="a0"/>
    <w:link w:val="111"/>
    <w:autoRedefine/>
    <w:qFormat/>
    <w:rsid w:val="003D4946"/>
    <w:rPr>
      <w:rFonts w:ascii="Times New Roman" w:eastAsia="Times New Roman" w:hAnsi="Times New Roman" w:cs="Times New Roman"/>
      <w:szCs w:val="24"/>
    </w:rPr>
  </w:style>
  <w:style w:type="paragraph" w:customStyle="1" w:styleId="37">
    <w:name w:val="Заголовок_подзаголовок_3"/>
    <w:basedOn w:val="a"/>
    <w:next w:val="afffe"/>
    <w:link w:val="38"/>
    <w:autoRedefine/>
    <w:qFormat/>
    <w:rsid w:val="003D4946"/>
    <w:pPr>
      <w:keepNext/>
      <w:keepLines/>
      <w:spacing w:before="60" w:after="60" w:line="240" w:lineRule="auto"/>
      <w:ind w:left="567" w:right="567"/>
      <w:jc w:val="both"/>
    </w:pPr>
    <w:rPr>
      <w:rFonts w:ascii="Times New Roman" w:eastAsia="Times New Roman" w:hAnsi="Times New Roman" w:cs="Times New Roman"/>
      <w:bCs/>
      <w:sz w:val="24"/>
      <w:szCs w:val="24"/>
      <w:u w:val="single"/>
    </w:rPr>
  </w:style>
  <w:style w:type="character" w:customStyle="1" w:styleId="38">
    <w:name w:val="Заголовок_подзаголовок_3 Знак"/>
    <w:basedOn w:val="a0"/>
    <w:link w:val="37"/>
    <w:autoRedefine/>
    <w:qFormat/>
    <w:rsid w:val="003D4946"/>
    <w:rPr>
      <w:rFonts w:ascii="Times New Roman" w:eastAsia="Times New Roman" w:hAnsi="Times New Roman" w:cs="Times New Roman"/>
      <w:bCs/>
      <w:sz w:val="24"/>
      <w:szCs w:val="24"/>
      <w:u w:val="single"/>
    </w:rPr>
  </w:style>
  <w:style w:type="paragraph" w:customStyle="1" w:styleId="enko">
    <w:name w:val="enko_Таблицы_простой"/>
    <w:basedOn w:val="a"/>
    <w:autoRedefine/>
    <w:qFormat/>
    <w:rsid w:val="003D4946"/>
    <w:pPr>
      <w:snapToGrid w:val="0"/>
      <w:spacing w:after="0" w:line="240" w:lineRule="auto"/>
    </w:pPr>
    <w:rPr>
      <w:rFonts w:ascii="Bookman Old Style" w:eastAsia="Times New Roman" w:hAnsi="Bookman Old Style" w:cs="Times New Roman"/>
      <w:szCs w:val="20"/>
    </w:rPr>
  </w:style>
  <w:style w:type="paragraph" w:customStyle="1" w:styleId="1e">
    <w:name w:val="Название1"/>
    <w:basedOn w:val="a"/>
    <w:autoRedefine/>
    <w:qFormat/>
    <w:rsid w:val="003D4946"/>
    <w:pPr>
      <w:suppressLineNumbers/>
      <w:suppressAutoHyphens/>
      <w:spacing w:before="120" w:after="120" w:line="240" w:lineRule="auto"/>
    </w:pPr>
    <w:rPr>
      <w:rFonts w:ascii="Arial" w:eastAsia="Times New Roman" w:hAnsi="Arial" w:cs="Tahoma"/>
      <w:i/>
      <w:iCs/>
      <w:kern w:val="1"/>
      <w:sz w:val="20"/>
      <w:szCs w:val="24"/>
      <w:lang w:eastAsia="ar-SA"/>
    </w:rPr>
  </w:style>
  <w:style w:type="paragraph" w:customStyle="1" w:styleId="ConsPlusDocList">
    <w:name w:val="ConsPlusDocList"/>
    <w:autoRedefine/>
    <w:uiPriority w:val="99"/>
    <w:qFormat/>
    <w:rsid w:val="003D494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ffff0">
    <w:name w:val="Текст_Жирный"/>
    <w:basedOn w:val="a0"/>
    <w:autoRedefine/>
    <w:uiPriority w:val="1"/>
    <w:qFormat/>
    <w:rsid w:val="003D4946"/>
    <w:rPr>
      <w:rFonts w:ascii="Times New Roman" w:hAnsi="Times New Roman"/>
      <w:b/>
    </w:rPr>
  </w:style>
  <w:style w:type="paragraph" w:customStyle="1" w:styleId="2c">
    <w:name w:val="Знак Знак Знак Знак Знак Знак Знак Знак Знак Знак2"/>
    <w:basedOn w:val="a"/>
    <w:autoRedefine/>
    <w:qFormat/>
    <w:rsid w:val="003D4946"/>
    <w:pPr>
      <w:spacing w:after="0" w:line="240" w:lineRule="auto"/>
    </w:pPr>
    <w:rPr>
      <w:rFonts w:ascii="Verdana" w:eastAsia="Times New Roman" w:hAnsi="Verdana" w:cs="Verdana"/>
      <w:sz w:val="20"/>
      <w:szCs w:val="20"/>
      <w:lang w:val="en-US" w:eastAsia="en-US"/>
    </w:rPr>
  </w:style>
  <w:style w:type="paragraph" w:customStyle="1" w:styleId="affff1">
    <w:name w:val="Титул_адрес_организации"/>
    <w:autoRedefine/>
    <w:qFormat/>
    <w:rsid w:val="003D4946"/>
    <w:pPr>
      <w:spacing w:before="60" w:after="0" w:line="240" w:lineRule="auto"/>
      <w:jc w:val="right"/>
    </w:pPr>
    <w:rPr>
      <w:rFonts w:ascii="Times New Roman" w:eastAsia="Times New Roman" w:hAnsi="Times New Roman" w:cs="Times New Roman"/>
      <w:sz w:val="18"/>
      <w:szCs w:val="18"/>
    </w:rPr>
  </w:style>
  <w:style w:type="paragraph" w:customStyle="1" w:styleId="2d">
    <w:name w:val="Основной текст (2)"/>
    <w:basedOn w:val="a"/>
    <w:autoRedefine/>
    <w:qFormat/>
    <w:rsid w:val="003D4946"/>
    <w:pPr>
      <w:widowControl w:val="0"/>
      <w:shd w:val="clear" w:color="auto" w:fill="FFFFFF"/>
      <w:spacing w:before="240" w:after="480" w:line="0" w:lineRule="atLeast"/>
      <w:jc w:val="both"/>
    </w:pPr>
    <w:rPr>
      <w:rFonts w:ascii="Times New Roman" w:eastAsia="Times New Roman" w:hAnsi="Times New Roman" w:cs="Times New Roman"/>
      <w:sz w:val="26"/>
      <w:szCs w:val="26"/>
    </w:rPr>
  </w:style>
  <w:style w:type="paragraph" w:customStyle="1" w:styleId="2e">
    <w:name w:val="Номер заголовка №2"/>
    <w:basedOn w:val="a"/>
    <w:autoRedefine/>
    <w:qFormat/>
    <w:rsid w:val="003D4946"/>
    <w:pPr>
      <w:widowControl w:val="0"/>
      <w:shd w:val="clear" w:color="auto" w:fill="FFFFFF"/>
      <w:spacing w:after="300" w:line="0" w:lineRule="atLeast"/>
      <w:jc w:val="right"/>
      <w:outlineLvl w:val="1"/>
    </w:pPr>
    <w:rPr>
      <w:rFonts w:ascii="Times New Roman" w:eastAsia="Times New Roman" w:hAnsi="Times New Roman" w:cs="Times New Roman"/>
      <w:sz w:val="26"/>
      <w:szCs w:val="26"/>
    </w:rPr>
  </w:style>
  <w:style w:type="paragraph" w:customStyle="1" w:styleId="2f">
    <w:name w:val="Заголовок №2"/>
    <w:basedOn w:val="a"/>
    <w:autoRedefine/>
    <w:qFormat/>
    <w:rsid w:val="003D4946"/>
    <w:pPr>
      <w:widowControl w:val="0"/>
      <w:shd w:val="clear" w:color="auto" w:fill="FFFFFF"/>
      <w:spacing w:before="300" w:after="0" w:line="0" w:lineRule="atLeast"/>
      <w:jc w:val="center"/>
      <w:outlineLvl w:val="1"/>
    </w:pPr>
    <w:rPr>
      <w:rFonts w:ascii="Times New Roman" w:eastAsia="Times New Roman" w:hAnsi="Times New Roman" w:cs="Times New Roman"/>
      <w:sz w:val="26"/>
      <w:szCs w:val="26"/>
    </w:rPr>
  </w:style>
  <w:style w:type="character" w:customStyle="1" w:styleId="290">
    <w:name w:val="Основной текст (2) + 9"/>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f0">
    <w:name w:val="Основной текст (2)_"/>
    <w:basedOn w:val="a0"/>
    <w:link w:val="212"/>
    <w:autoRedefine/>
    <w:qFormat/>
    <w:rsid w:val="003D4946"/>
    <w:rPr>
      <w:rFonts w:ascii="Sylfaen" w:eastAsia="Sylfaen" w:hAnsi="Sylfaen" w:cs="Sylfaen"/>
      <w:color w:val="000000" w:themeColor="text1"/>
    </w:rPr>
  </w:style>
  <w:style w:type="paragraph" w:customStyle="1" w:styleId="212">
    <w:name w:val="Основной текст (2)1"/>
    <w:basedOn w:val="a"/>
    <w:link w:val="2f0"/>
    <w:autoRedefine/>
    <w:qFormat/>
    <w:rsid w:val="003D4946"/>
    <w:pPr>
      <w:widowControl w:val="0"/>
      <w:spacing w:after="0" w:line="240" w:lineRule="auto"/>
      <w:jc w:val="both"/>
    </w:pPr>
    <w:rPr>
      <w:rFonts w:ascii="Sylfaen" w:eastAsia="Sylfaen" w:hAnsi="Sylfaen" w:cs="Sylfaen"/>
      <w:color w:val="000000" w:themeColor="text1"/>
    </w:rPr>
  </w:style>
  <w:style w:type="paragraph" w:customStyle="1" w:styleId="240">
    <w:name w:val="Основной текст (2)4"/>
    <w:basedOn w:val="a"/>
    <w:autoRedefine/>
    <w:qFormat/>
    <w:rsid w:val="003D4946"/>
    <w:pPr>
      <w:widowControl w:val="0"/>
      <w:shd w:val="clear" w:color="auto" w:fill="FFFFFF"/>
      <w:spacing w:before="180" w:after="0" w:line="274" w:lineRule="exact"/>
      <w:ind w:hanging="2180"/>
      <w:jc w:val="center"/>
    </w:pPr>
    <w:rPr>
      <w:rFonts w:ascii="Times New Roman" w:eastAsia="Times New Roman" w:hAnsi="Times New Roman" w:cs="Times New Roman"/>
      <w:sz w:val="24"/>
      <w:szCs w:val="24"/>
    </w:rPr>
  </w:style>
  <w:style w:type="paragraph" w:customStyle="1" w:styleId="270">
    <w:name w:val="Основной текст (2)7"/>
    <w:basedOn w:val="a"/>
    <w:autoRedefine/>
    <w:qFormat/>
    <w:rsid w:val="003D4946"/>
    <w:pPr>
      <w:widowControl w:val="0"/>
      <w:shd w:val="clear" w:color="auto" w:fill="FFFFFF"/>
      <w:spacing w:before="120" w:after="0" w:line="278" w:lineRule="exact"/>
      <w:jc w:val="both"/>
    </w:pPr>
    <w:rPr>
      <w:rFonts w:ascii="Times New Roman" w:eastAsia="Times New Roman" w:hAnsi="Times New Roman" w:cs="Times New Roman"/>
      <w:sz w:val="28"/>
      <w:szCs w:val="28"/>
    </w:rPr>
  </w:style>
  <w:style w:type="character" w:customStyle="1" w:styleId="2ArialNarrow">
    <w:name w:val="Основной текст (2) + Arial Narrow"/>
    <w:basedOn w:val="2f0"/>
    <w:autoRedefine/>
    <w:qFormat/>
    <w:rsid w:val="003D4946"/>
    <w:rPr>
      <w:rFonts w:ascii="Arial Narrow" w:eastAsia="Arial Narrow" w:hAnsi="Arial Narrow" w:cs="Arial Narrow"/>
      <w:color w:val="000000"/>
      <w:spacing w:val="0"/>
      <w:w w:val="100"/>
      <w:position w:val="0"/>
      <w:sz w:val="20"/>
      <w:szCs w:val="20"/>
      <w:u w:val="none"/>
      <w:lang w:val="ru-RU" w:eastAsia="ru-RU" w:bidi="ru-RU"/>
    </w:rPr>
  </w:style>
  <w:style w:type="paragraph" w:customStyle="1" w:styleId="113">
    <w:name w:val="Основной текст11"/>
    <w:basedOn w:val="a"/>
    <w:autoRedefine/>
    <w:qFormat/>
    <w:rsid w:val="003D4946"/>
    <w:pPr>
      <w:widowControl w:val="0"/>
      <w:shd w:val="clear" w:color="auto" w:fill="FFFFFF"/>
      <w:spacing w:after="160" w:line="288" w:lineRule="auto"/>
      <w:ind w:firstLine="180"/>
    </w:pPr>
    <w:rPr>
      <w:rFonts w:ascii="Calibri" w:eastAsia="Calibri" w:hAnsi="Calibri" w:cs="Calibri"/>
      <w:sz w:val="19"/>
      <w:szCs w:val="19"/>
    </w:rPr>
  </w:style>
  <w:style w:type="paragraph" w:customStyle="1" w:styleId="affff2">
    <w:name w:val="Другое"/>
    <w:basedOn w:val="a"/>
    <w:autoRedefine/>
    <w:qFormat/>
    <w:rsid w:val="003D4946"/>
    <w:pPr>
      <w:widowControl w:val="0"/>
      <w:shd w:val="clear" w:color="auto" w:fill="FFFFFF"/>
      <w:spacing w:after="0" w:line="240" w:lineRule="auto"/>
    </w:pPr>
    <w:rPr>
      <w:rFonts w:ascii="Calibri" w:eastAsia="Calibri" w:hAnsi="Calibri" w:cs="Calibri"/>
      <w:sz w:val="19"/>
      <w:szCs w:val="19"/>
    </w:rPr>
  </w:style>
  <w:style w:type="character" w:customStyle="1" w:styleId="2110">
    <w:name w:val="Основной текст (2) + 11"/>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8pt">
    <w:name w:val="Основной текст (2) + 18 pt"/>
    <w:basedOn w:val="2f0"/>
    <w:autoRedefine/>
    <w:qFormat/>
    <w:rsid w:val="003D4946"/>
    <w:rPr>
      <w:rFonts w:ascii="Times New Roman" w:eastAsia="Times New Roman" w:hAnsi="Times New Roman" w:cs="Times New Roman"/>
      <w:color w:val="000000"/>
      <w:spacing w:val="0"/>
      <w:w w:val="100"/>
      <w:position w:val="0"/>
      <w:sz w:val="36"/>
      <w:szCs w:val="36"/>
      <w:u w:val="none"/>
      <w:lang w:val="ru-RU" w:eastAsia="ru-RU" w:bidi="ru-RU"/>
    </w:rPr>
  </w:style>
  <w:style w:type="character" w:customStyle="1" w:styleId="210pt">
    <w:name w:val="Основной текст (2) + 10 pt"/>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12pt">
    <w:name w:val="Основной текст (2) + 12 pt"/>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2pt1">
    <w:name w:val="Основной текст (2) + 12 pt1"/>
    <w:basedOn w:val="2f0"/>
    <w:autoRedefine/>
    <w:qFormat/>
    <w:rsid w:val="003D4946"/>
    <w:rPr>
      <w:rFonts w:ascii="Times New Roman" w:eastAsia="Times New Roman" w:hAnsi="Times New Roman" w:cs="Times New Roman"/>
      <w:color w:val="000000"/>
      <w:spacing w:val="0"/>
      <w:w w:val="100"/>
      <w:position w:val="0"/>
      <w:sz w:val="24"/>
      <w:szCs w:val="24"/>
      <w:u w:val="none"/>
      <w:lang w:val="ru-RU" w:eastAsia="ru-RU" w:bidi="ru-RU"/>
    </w:rPr>
  </w:style>
  <w:style w:type="paragraph" w:customStyle="1" w:styleId="affff3">
    <w:name w:val="Подпись к таблице"/>
    <w:basedOn w:val="a"/>
    <w:autoRedefine/>
    <w:qFormat/>
    <w:rsid w:val="003D4946"/>
    <w:pPr>
      <w:widowControl w:val="0"/>
      <w:shd w:val="clear" w:color="auto" w:fill="FFFFFF"/>
      <w:spacing w:after="0" w:line="439" w:lineRule="exact"/>
      <w:jc w:val="both"/>
    </w:pPr>
    <w:rPr>
      <w:rFonts w:ascii="Times New Roman" w:eastAsia="Times New Roman" w:hAnsi="Times New Roman" w:cs="Times New Roman"/>
      <w:sz w:val="30"/>
      <w:szCs w:val="30"/>
    </w:rPr>
  </w:style>
  <w:style w:type="character" w:customStyle="1" w:styleId="210pt1">
    <w:name w:val="Основной текст (2) + 10 pt1"/>
    <w:basedOn w:val="2f0"/>
    <w:autoRedefine/>
    <w:qFormat/>
    <w:rsid w:val="003D4946"/>
    <w:rPr>
      <w:rFonts w:ascii="Times New Roman" w:eastAsia="Times New Roman" w:hAnsi="Times New Roman" w:cs="Times New Roman"/>
      <w:color w:val="000000"/>
      <w:spacing w:val="0"/>
      <w:w w:val="100"/>
      <w:position w:val="0"/>
      <w:sz w:val="20"/>
      <w:szCs w:val="20"/>
      <w:u w:val="none"/>
      <w:lang w:val="ru-RU" w:eastAsia="ru-RU" w:bidi="ru-RU"/>
    </w:rPr>
  </w:style>
  <w:style w:type="character" w:customStyle="1" w:styleId="2Exact">
    <w:name w:val="Заголовок №2 Exact"/>
    <w:basedOn w:val="a0"/>
    <w:autoRedefine/>
    <w:qFormat/>
    <w:rsid w:val="003D4946"/>
    <w:rPr>
      <w:rFonts w:ascii="Times New Roman" w:eastAsia="Times New Roman" w:hAnsi="Times New Roman" w:cs="Times New Roman"/>
      <w:sz w:val="30"/>
      <w:szCs w:val="30"/>
      <w:u w:val="none"/>
    </w:rPr>
  </w:style>
  <w:style w:type="paragraph" w:customStyle="1" w:styleId="61">
    <w:name w:val="Основной текст (6)"/>
    <w:basedOn w:val="a"/>
    <w:autoRedefine/>
    <w:qFormat/>
    <w:rsid w:val="003D4946"/>
    <w:pPr>
      <w:widowControl w:val="0"/>
      <w:shd w:val="clear" w:color="auto" w:fill="FFFFFF"/>
      <w:spacing w:before="720" w:after="300" w:line="322" w:lineRule="exact"/>
      <w:jc w:val="center"/>
    </w:pPr>
    <w:rPr>
      <w:rFonts w:ascii="Times New Roman" w:eastAsia="Times New Roman" w:hAnsi="Times New Roman" w:cs="Times New Roman"/>
      <w:b/>
      <w:bCs/>
      <w:sz w:val="28"/>
      <w:szCs w:val="28"/>
    </w:rPr>
  </w:style>
  <w:style w:type="character" w:customStyle="1" w:styleId="211pt2">
    <w:name w:val="Основной текст (2) + 11 pt2"/>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11pt3">
    <w:name w:val="Основной текст (2) + 11 pt3"/>
    <w:basedOn w:val="2f0"/>
    <w:autoRedefine/>
    <w:qFormat/>
    <w:rsid w:val="003D494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MicrosoftSansSerif">
    <w:name w:val="Основной текст (2) + Microsoft Sans Serif"/>
    <w:basedOn w:val="2f0"/>
    <w:autoRedefine/>
    <w:qFormat/>
    <w:rsid w:val="003D4946"/>
    <w:rPr>
      <w:rFonts w:ascii="Microsoft Sans Serif" w:eastAsia="Microsoft Sans Serif" w:hAnsi="Microsoft Sans Serif" w:cs="Microsoft Sans Serif"/>
      <w:color w:val="000000"/>
      <w:spacing w:val="0"/>
      <w:w w:val="100"/>
      <w:position w:val="0"/>
      <w:sz w:val="14"/>
      <w:szCs w:val="14"/>
      <w:u w:val="none"/>
      <w:lang w:val="ru-RU" w:eastAsia="ru-RU" w:bidi="ru-RU"/>
    </w:rPr>
  </w:style>
  <w:style w:type="paragraph" w:customStyle="1" w:styleId="1f">
    <w:name w:val="Подпись к таблице1"/>
    <w:basedOn w:val="a"/>
    <w:link w:val="affff4"/>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affff4">
    <w:name w:val="Подпись к таблице_"/>
    <w:basedOn w:val="a0"/>
    <w:link w:val="1f"/>
    <w:autoRedefine/>
    <w:qFormat/>
    <w:rsid w:val="003D4946"/>
    <w:rPr>
      <w:rFonts w:ascii="Times New Roman" w:eastAsia="Times New Roman" w:hAnsi="Times New Roman" w:cs="Times New Roman"/>
      <w:sz w:val="28"/>
      <w:szCs w:val="28"/>
      <w:shd w:val="clear" w:color="auto" w:fill="FFFFFF"/>
    </w:rPr>
  </w:style>
  <w:style w:type="character" w:customStyle="1" w:styleId="24pt">
    <w:name w:val="Основной текст (2) + 4 pt"/>
    <w:basedOn w:val="2f0"/>
    <w:autoRedefine/>
    <w:qFormat/>
    <w:rsid w:val="003D4946"/>
    <w:rPr>
      <w:rFonts w:ascii="Times New Roman" w:eastAsia="Times New Roman" w:hAnsi="Times New Roman" w:cs="Times New Roman"/>
      <w:color w:val="000000"/>
      <w:spacing w:val="0"/>
      <w:w w:val="100"/>
      <w:position w:val="0"/>
      <w:sz w:val="8"/>
      <w:szCs w:val="8"/>
      <w:u w:val="none"/>
      <w:lang w:val="ru-RU" w:eastAsia="ru-RU" w:bidi="ru-RU"/>
    </w:rPr>
  </w:style>
  <w:style w:type="paragraph" w:customStyle="1" w:styleId="72">
    <w:name w:val="Основной текст (7)"/>
    <w:basedOn w:val="a"/>
    <w:autoRedefine/>
    <w:qFormat/>
    <w:rsid w:val="003D4946"/>
    <w:pPr>
      <w:widowControl w:val="0"/>
      <w:shd w:val="clear" w:color="auto" w:fill="FFFFFF"/>
      <w:spacing w:after="0" w:line="0" w:lineRule="atLeast"/>
      <w:ind w:hanging="220"/>
    </w:pPr>
    <w:rPr>
      <w:rFonts w:ascii="Times New Roman" w:eastAsia="Times New Roman" w:hAnsi="Times New Roman" w:cs="Times New Roman"/>
    </w:rPr>
  </w:style>
  <w:style w:type="paragraph" w:customStyle="1" w:styleId="affff5">
    <w:name w:val="Подпись к картинке"/>
    <w:basedOn w:val="a"/>
    <w:autoRedefine/>
    <w:qFormat/>
    <w:rsid w:val="003D4946"/>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1f0">
    <w:name w:val="Колонтитул1"/>
    <w:basedOn w:val="a"/>
    <w:link w:val="affff6"/>
    <w:autoRedefine/>
    <w:qFormat/>
    <w:rsid w:val="003D4946"/>
    <w:pPr>
      <w:widowControl w:val="0"/>
      <w:shd w:val="clear" w:color="auto" w:fill="FFFFFF"/>
      <w:spacing w:after="0" w:line="0" w:lineRule="atLeast"/>
    </w:pPr>
    <w:rPr>
      <w:rFonts w:ascii="Times New Roman" w:eastAsia="Times New Roman" w:hAnsi="Times New Roman" w:cs="Times New Roman"/>
    </w:rPr>
  </w:style>
  <w:style w:type="character" w:customStyle="1" w:styleId="affff6">
    <w:name w:val="Колонтитул_"/>
    <w:basedOn w:val="a0"/>
    <w:link w:val="1f0"/>
    <w:autoRedefine/>
    <w:qFormat/>
    <w:rsid w:val="003D4946"/>
    <w:rPr>
      <w:rFonts w:ascii="Times New Roman" w:eastAsia="Times New Roman" w:hAnsi="Times New Roman" w:cs="Times New Roman"/>
      <w:shd w:val="clear" w:color="auto" w:fill="FFFFFF"/>
    </w:rPr>
  </w:style>
  <w:style w:type="character" w:customStyle="1" w:styleId="affff7">
    <w:name w:val="Колонтитул"/>
    <w:basedOn w:val="affff6"/>
    <w:autoRedefine/>
    <w:qFormat/>
    <w:rsid w:val="003D4946"/>
    <w:rPr>
      <w:rFonts w:ascii="Times New Roman" w:eastAsia="Times New Roman" w:hAnsi="Times New Roman" w:cs="Times New Roman"/>
      <w:color w:val="000000"/>
      <w:spacing w:val="0"/>
      <w:w w:val="100"/>
      <w:position w:val="0"/>
      <w:shd w:val="clear" w:color="auto" w:fill="FFFFFF"/>
      <w:lang w:val="ru-RU" w:bidi="ru-RU"/>
    </w:rPr>
  </w:style>
  <w:style w:type="character" w:customStyle="1" w:styleId="2100">
    <w:name w:val="Основной текст (2) + 10"/>
    <w:basedOn w:val="2f0"/>
    <w:autoRedefine/>
    <w:qFormat/>
    <w:rsid w:val="003D4946"/>
    <w:rPr>
      <w:rFonts w:ascii="Times New Roman" w:eastAsia="Times New Roman" w:hAnsi="Times New Roman" w:cs="Times New Roman"/>
      <w:color w:val="000000"/>
      <w:spacing w:val="0"/>
      <w:w w:val="100"/>
      <w:position w:val="0"/>
      <w:sz w:val="21"/>
      <w:szCs w:val="21"/>
      <w:u w:val="none"/>
      <w:lang w:val="ru-RU" w:eastAsia="ru-RU" w:bidi="ru-RU"/>
    </w:rPr>
  </w:style>
  <w:style w:type="character" w:customStyle="1" w:styleId="250">
    <w:name w:val="Основной текст (2) + 5"/>
    <w:basedOn w:val="2f0"/>
    <w:autoRedefine/>
    <w:qFormat/>
    <w:rsid w:val="003D4946"/>
    <w:rPr>
      <w:rFonts w:ascii="Times New Roman" w:eastAsia="Times New Roman" w:hAnsi="Times New Roman" w:cs="Times New Roman"/>
      <w:i/>
      <w:iCs/>
      <w:color w:val="000000"/>
      <w:spacing w:val="0"/>
      <w:w w:val="100"/>
      <w:position w:val="0"/>
      <w:sz w:val="11"/>
      <w:szCs w:val="11"/>
      <w:u w:val="none"/>
      <w:lang w:val="en-US" w:eastAsia="en-US" w:bidi="en-US"/>
    </w:rPr>
  </w:style>
  <w:style w:type="paragraph" w:customStyle="1" w:styleId="Style18">
    <w:name w:val="Style18"/>
    <w:basedOn w:val="a"/>
    <w:autoRedefine/>
    <w:uiPriority w:val="99"/>
    <w:unhideWhenUsed/>
    <w:qFormat/>
    <w:rsid w:val="003D4946"/>
    <w:pPr>
      <w:spacing w:after="0" w:line="278" w:lineRule="exact"/>
      <w:ind w:firstLine="571"/>
      <w:jc w:val="both"/>
    </w:pPr>
    <w:rPr>
      <w:rFonts w:ascii="Times New Roman" w:eastAsia="Times New Roman" w:hAnsi="Times New Roman" w:cs="Times New Roman" w:hint="eastAsia"/>
      <w:sz w:val="24"/>
      <w:szCs w:val="24"/>
    </w:rPr>
  </w:style>
  <w:style w:type="character" w:customStyle="1" w:styleId="FontStyle65">
    <w:name w:val="Font Style65"/>
    <w:basedOn w:val="a0"/>
    <w:autoRedefine/>
    <w:uiPriority w:val="99"/>
    <w:unhideWhenUsed/>
    <w:qFormat/>
    <w:rsid w:val="003D4946"/>
    <w:rPr>
      <w:rFonts w:ascii="Times New Roman" w:cs="Times New Roman" w:hint="default"/>
      <w:color w:val="000000"/>
      <w:sz w:val="20"/>
      <w:szCs w:val="20"/>
    </w:rPr>
  </w:style>
  <w:style w:type="paragraph" w:customStyle="1" w:styleId="021216">
    <w:name w:val="021216Текст"/>
    <w:basedOn w:val="a"/>
    <w:autoRedefine/>
    <w:qFormat/>
    <w:rsid w:val="003D4946"/>
    <w:pPr>
      <w:spacing w:after="0" w:line="300" w:lineRule="auto"/>
      <w:ind w:firstLine="709"/>
    </w:pPr>
    <w:rPr>
      <w:rFonts w:ascii="Times New Roman" w:eastAsia="Times New Roman" w:hAnsi="Times New Roman" w:cs="Times New Roman"/>
      <w:sz w:val="24"/>
      <w:szCs w:val="24"/>
    </w:rPr>
  </w:style>
  <w:style w:type="paragraph" w:customStyle="1" w:styleId="Style24">
    <w:name w:val="Style24"/>
    <w:basedOn w:val="a"/>
    <w:autoRedefine/>
    <w:uiPriority w:val="99"/>
    <w:unhideWhenUsed/>
    <w:qFormat/>
    <w:rsid w:val="003D4946"/>
    <w:pPr>
      <w:spacing w:after="0" w:line="240" w:lineRule="auto"/>
      <w:jc w:val="center"/>
    </w:pPr>
    <w:rPr>
      <w:rFonts w:ascii="Times New Roman" w:eastAsiaTheme="minorHAnsi" w:hAnsi="Times New Roman" w:cs="Times New Roman"/>
      <w:b/>
      <w:bCs/>
      <w:sz w:val="24"/>
      <w:szCs w:val="24"/>
      <w:lang w:eastAsia="en-US" w:bidi="ru-RU"/>
    </w:rPr>
  </w:style>
  <w:style w:type="character" w:customStyle="1" w:styleId="FontStyle68">
    <w:name w:val="Font Style68"/>
    <w:basedOn w:val="a0"/>
    <w:autoRedefine/>
    <w:uiPriority w:val="99"/>
    <w:unhideWhenUsed/>
    <w:qFormat/>
    <w:rsid w:val="003D4946"/>
    <w:rPr>
      <w:rFonts w:ascii="Times New Roman" w:cs="Times New Roman" w:hint="default"/>
      <w:b/>
      <w:color w:val="000000"/>
      <w:sz w:val="26"/>
      <w:szCs w:val="26"/>
    </w:rPr>
  </w:style>
  <w:style w:type="paragraph" w:customStyle="1" w:styleId="affff8">
    <w:name w:val="таблица"/>
    <w:basedOn w:val="a"/>
    <w:autoRedefine/>
    <w:qFormat/>
    <w:rsid w:val="003D4946"/>
    <w:pPr>
      <w:keepNext/>
      <w:keepLines/>
      <w:spacing w:after="0" w:line="240" w:lineRule="auto"/>
      <w:jc w:val="center"/>
    </w:pPr>
    <w:rPr>
      <w:rFonts w:ascii="Times New Roman" w:eastAsia="Times New Roman" w:hAnsi="Times New Roman" w:cs="Times New Roman"/>
      <w:color w:val="000000"/>
      <w:sz w:val="24"/>
      <w:szCs w:val="24"/>
    </w:rPr>
  </w:style>
  <w:style w:type="paragraph" w:styleId="affff9">
    <w:name w:val="No Spacing"/>
    <w:autoRedefine/>
    <w:uiPriority w:val="99"/>
    <w:qFormat/>
    <w:rsid w:val="003D4946"/>
    <w:pPr>
      <w:spacing w:after="0" w:line="240" w:lineRule="auto"/>
      <w:jc w:val="both"/>
    </w:pPr>
    <w:rPr>
      <w:rFonts w:ascii="Times New Roman" w:eastAsia="Calibri" w:hAnsi="Times New Roman" w:cs="Times New Roman"/>
      <w:lang w:val="en-GB"/>
    </w:rPr>
  </w:style>
  <w:style w:type="character" w:customStyle="1" w:styleId="fontstyle01">
    <w:name w:val="fontstyle01"/>
    <w:autoRedefine/>
    <w:qFormat/>
    <w:rsid w:val="003D4946"/>
    <w:rPr>
      <w:rFonts w:ascii="Times New Roman" w:hAnsi="Times New Roman" w:cs="Times New Roman" w:hint="default"/>
      <w:color w:val="000000"/>
      <w:sz w:val="24"/>
      <w:szCs w:val="24"/>
    </w:rPr>
  </w:style>
  <w:style w:type="character" w:customStyle="1" w:styleId="271">
    <w:name w:val="Основной текст (2) + 7"/>
    <w:basedOn w:val="2f0"/>
    <w:autoRedefine/>
    <w:qFormat/>
    <w:rsid w:val="003D4946"/>
    <w:rPr>
      <w:rFonts w:ascii="Times New Roman" w:eastAsia="Times New Roman" w:hAnsi="Times New Roman" w:cs="Times New Roman"/>
      <w:color w:val="000000"/>
      <w:spacing w:val="0"/>
      <w:w w:val="100"/>
      <w:position w:val="0"/>
      <w:sz w:val="15"/>
      <w:szCs w:val="15"/>
      <w:u w:val="none"/>
      <w:lang w:val="ru-RU" w:eastAsia="ru-RU" w:bidi="ru-RU"/>
    </w:rPr>
  </w:style>
  <w:style w:type="paragraph" w:customStyle="1" w:styleId="affffa">
    <w:name w:val="Сноска"/>
    <w:basedOn w:val="a"/>
    <w:autoRedefine/>
    <w:qFormat/>
    <w:rsid w:val="003D4946"/>
    <w:pPr>
      <w:widowControl w:val="0"/>
      <w:shd w:val="clear" w:color="auto" w:fill="FFFFFF"/>
      <w:spacing w:after="0" w:line="283" w:lineRule="exact"/>
      <w:jc w:val="both"/>
    </w:pPr>
    <w:rPr>
      <w:rFonts w:ascii="Times New Roman" w:eastAsia="Times New Roman" w:hAnsi="Times New Roman" w:cs="Times New Roman"/>
      <w:sz w:val="24"/>
      <w:szCs w:val="24"/>
    </w:rPr>
  </w:style>
  <w:style w:type="paragraph" w:customStyle="1" w:styleId="46">
    <w:name w:val="Заголовок №4"/>
    <w:basedOn w:val="a"/>
    <w:autoRedefine/>
    <w:qFormat/>
    <w:rsid w:val="003D4946"/>
    <w:pPr>
      <w:widowControl w:val="0"/>
      <w:shd w:val="clear" w:color="auto" w:fill="FFFFFF"/>
      <w:spacing w:after="0" w:line="566" w:lineRule="exact"/>
      <w:ind w:hanging="880"/>
      <w:jc w:val="both"/>
      <w:outlineLvl w:val="3"/>
    </w:pPr>
    <w:rPr>
      <w:rFonts w:ascii="Times New Roman" w:eastAsia="Times New Roman" w:hAnsi="Times New Roman" w:cs="Times New Roman"/>
      <w:b/>
      <w:bCs/>
      <w:sz w:val="24"/>
      <w:szCs w:val="24"/>
    </w:rPr>
  </w:style>
  <w:style w:type="paragraph" w:customStyle="1" w:styleId="Standard">
    <w:name w:val="Standard"/>
    <w:autoRedefine/>
    <w:qFormat/>
    <w:rsid w:val="003D4946"/>
    <w:pPr>
      <w:widowControl w:val="0"/>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character" w:customStyle="1" w:styleId="-">
    <w:name w:val="Интернет-ссылка"/>
    <w:basedOn w:val="a0"/>
    <w:autoRedefine/>
    <w:uiPriority w:val="99"/>
    <w:unhideWhenUsed/>
    <w:qFormat/>
    <w:rsid w:val="003D4946"/>
    <w:rPr>
      <w:color w:val="0000FF" w:themeColor="hyperlink"/>
      <w:u w:val="single"/>
    </w:rPr>
  </w:style>
  <w:style w:type="paragraph" w:customStyle="1" w:styleId="affffb">
    <w:name w:val="Нормальный"/>
    <w:basedOn w:val="a"/>
    <w:autoRedefine/>
    <w:qFormat/>
    <w:rsid w:val="003D4946"/>
    <w:pPr>
      <w:spacing w:after="0" w:line="240" w:lineRule="auto"/>
      <w:ind w:firstLine="709"/>
    </w:pPr>
    <w:rPr>
      <w:rFonts w:ascii="Times New Roman" w:eastAsia="Calibri" w:hAnsi="Times New Roman" w:cs="Times New Roman"/>
      <w:sz w:val="24"/>
      <w:szCs w:val="24"/>
      <w:lang w:eastAsia="en-US"/>
    </w:rPr>
  </w:style>
  <w:style w:type="paragraph" w:customStyle="1" w:styleId="Style33">
    <w:name w:val="Style33"/>
    <w:basedOn w:val="a"/>
    <w:autoRedefine/>
    <w:uiPriority w:val="99"/>
    <w:unhideWhenUsed/>
    <w:qFormat/>
    <w:rsid w:val="003D4946"/>
    <w:pPr>
      <w:spacing w:after="0" w:line="276" w:lineRule="exact"/>
    </w:pPr>
    <w:rPr>
      <w:rFonts w:ascii="Times New Roman" w:eastAsia="Times New Roman" w:hAnsi="Times New Roman" w:cs="Times New Roman" w:hint="eastAsia"/>
      <w:sz w:val="24"/>
      <w:szCs w:val="24"/>
    </w:rPr>
  </w:style>
  <w:style w:type="paragraph" w:customStyle="1" w:styleId="Style32">
    <w:name w:val="Style32"/>
    <w:basedOn w:val="a"/>
    <w:autoRedefine/>
    <w:uiPriority w:val="99"/>
    <w:unhideWhenUsed/>
    <w:qFormat/>
    <w:rsid w:val="003D4946"/>
    <w:pPr>
      <w:spacing w:after="0" w:line="274" w:lineRule="exact"/>
      <w:jc w:val="both"/>
    </w:pPr>
    <w:rPr>
      <w:rFonts w:ascii="Times New Roman" w:eastAsia="Times New Roman" w:hAnsi="Times New Roman" w:cs="Times New Roman" w:hint="eastAsia"/>
      <w:sz w:val="24"/>
      <w:szCs w:val="24"/>
    </w:rPr>
  </w:style>
  <w:style w:type="paragraph" w:customStyle="1" w:styleId="2111">
    <w:name w:val="Знак211"/>
    <w:basedOn w:val="a"/>
    <w:next w:val="afa"/>
    <w:autoRedefine/>
    <w:unhideWhenUsed/>
    <w:qFormat/>
    <w:rsid w:val="003D4946"/>
    <w:pPr>
      <w:spacing w:after="0" w:line="240" w:lineRule="auto"/>
    </w:pPr>
    <w:rPr>
      <w:rFonts w:ascii="Times New Roman" w:eastAsia="Calibri" w:hAnsi="Times New Roman" w:cs="Times New Roman"/>
      <w:sz w:val="24"/>
      <w:szCs w:val="24"/>
    </w:rPr>
  </w:style>
  <w:style w:type="character" w:customStyle="1" w:styleId="font21">
    <w:name w:val="font21"/>
    <w:autoRedefine/>
    <w:qFormat/>
    <w:rsid w:val="003D4946"/>
    <w:rPr>
      <w:rFonts w:ascii="Arial" w:hAnsi="Arial" w:cs="Arial"/>
      <w:color w:val="000000"/>
      <w:u w:val="none"/>
    </w:rPr>
  </w:style>
  <w:style w:type="character" w:customStyle="1" w:styleId="font31">
    <w:name w:val="font31"/>
    <w:autoRedefine/>
    <w:qFormat/>
    <w:rsid w:val="003D4946"/>
    <w:rPr>
      <w:rFonts w:ascii="Arial" w:hAnsi="Arial" w:cs="Arial"/>
      <w:color w:val="000000"/>
      <w:u w:val="none"/>
    </w:rPr>
  </w:style>
  <w:style w:type="character" w:customStyle="1" w:styleId="2115pt">
    <w:name w:val="Основной текст (2) + 11;5 pt;Не полужирный"/>
    <w:basedOn w:val="2f0"/>
    <w:autoRedefine/>
    <w:qFormat/>
    <w:rsid w:val="003D4946"/>
    <w:rPr>
      <w:rFonts w:ascii="Times New Roman" w:eastAsia="Times New Roman" w:hAnsi="Times New Roman" w:cs="Times New Roman"/>
      <w:color w:val="000000"/>
      <w:spacing w:val="0"/>
      <w:w w:val="100"/>
      <w:position w:val="0"/>
      <w:sz w:val="23"/>
      <w:szCs w:val="23"/>
      <w:u w:val="none"/>
      <w:lang w:val="ru-RU" w:eastAsia="ru-RU" w:bidi="ru-RU"/>
    </w:rPr>
  </w:style>
  <w:style w:type="character" w:customStyle="1" w:styleId="2105pt">
    <w:name w:val="Основной текст (2) + 10;5 pt;Полужирный"/>
    <w:basedOn w:val="2f0"/>
    <w:autoRedefine/>
    <w:qFormat/>
    <w:rsid w:val="003D4946"/>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95pt">
    <w:name w:val="Основной текст (2) + 9;5 pt;Полужирный"/>
    <w:basedOn w:val="2f0"/>
    <w:autoRedefine/>
    <w:qFormat/>
    <w:rsid w:val="003D4946"/>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formattext">
    <w:name w:val="formattext"/>
    <w:basedOn w:val="a"/>
    <w:qFormat/>
    <w:rsid w:val="003D49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0">
    <w:name w:val="TEXT"/>
    <w:basedOn w:val="a"/>
    <w:link w:val="TEXT1"/>
    <w:qFormat/>
    <w:rsid w:val="003D4946"/>
    <w:pPr>
      <w:spacing w:after="0" w:line="360" w:lineRule="auto"/>
      <w:ind w:firstLine="851"/>
      <w:jc w:val="both"/>
    </w:pPr>
    <w:rPr>
      <w:rFonts w:ascii="Times New Roman" w:eastAsia="Times New Roman" w:hAnsi="Times New Roman" w:cs="Times New Roman"/>
      <w:sz w:val="24"/>
      <w:szCs w:val="24"/>
    </w:rPr>
  </w:style>
  <w:style w:type="character" w:customStyle="1" w:styleId="TEXT1">
    <w:name w:val="TEXT Знак"/>
    <w:link w:val="TEXT0"/>
    <w:qFormat/>
    <w:locked/>
    <w:rsid w:val="003D4946"/>
    <w:rPr>
      <w:rFonts w:ascii="Times New Roman" w:eastAsia="Times New Roman" w:hAnsi="Times New Roman" w:cs="Times New Roman"/>
      <w:sz w:val="24"/>
      <w:szCs w:val="24"/>
    </w:rPr>
  </w:style>
  <w:style w:type="character" w:styleId="affffc">
    <w:name w:val="endnote reference"/>
    <w:basedOn w:val="a0"/>
    <w:autoRedefine/>
    <w:semiHidden/>
    <w:qFormat/>
    <w:rsid w:val="00F022FE"/>
    <w:rPr>
      <w:vertAlign w:val="superscript"/>
    </w:rPr>
  </w:style>
  <w:style w:type="paragraph" w:styleId="81">
    <w:name w:val="toc 8"/>
    <w:basedOn w:val="a"/>
    <w:next w:val="a"/>
    <w:autoRedefine/>
    <w:semiHidden/>
    <w:qFormat/>
    <w:rsid w:val="00F022FE"/>
    <w:pPr>
      <w:spacing w:after="0" w:line="240" w:lineRule="auto"/>
      <w:ind w:left="1440"/>
    </w:pPr>
    <w:rPr>
      <w:rFonts w:ascii="Times New Roman" w:eastAsia="Times New Roman" w:hAnsi="Times New Roman" w:cs="Times New Roman"/>
      <w:sz w:val="20"/>
      <w:szCs w:val="20"/>
    </w:rPr>
  </w:style>
  <w:style w:type="paragraph" w:styleId="73">
    <w:name w:val="toc 7"/>
    <w:basedOn w:val="a"/>
    <w:next w:val="a"/>
    <w:autoRedefine/>
    <w:semiHidden/>
    <w:qFormat/>
    <w:rsid w:val="00F022FE"/>
    <w:pPr>
      <w:spacing w:after="0" w:line="240" w:lineRule="auto"/>
      <w:ind w:left="1200"/>
    </w:pPr>
    <w:rPr>
      <w:rFonts w:ascii="Times New Roman" w:eastAsia="Times New Roman" w:hAnsi="Times New Roman" w:cs="Times New Roman"/>
      <w:sz w:val="20"/>
      <w:szCs w:val="20"/>
    </w:rPr>
  </w:style>
  <w:style w:type="paragraph" w:styleId="62">
    <w:name w:val="toc 6"/>
    <w:basedOn w:val="a"/>
    <w:next w:val="a"/>
    <w:autoRedefine/>
    <w:semiHidden/>
    <w:qFormat/>
    <w:rsid w:val="00F022FE"/>
    <w:pPr>
      <w:spacing w:after="0" w:line="240" w:lineRule="auto"/>
      <w:ind w:left="960"/>
    </w:pPr>
    <w:rPr>
      <w:rFonts w:ascii="Times New Roman" w:eastAsia="Times New Roman" w:hAnsi="Times New Roman" w:cs="Times New Roman"/>
      <w:sz w:val="20"/>
      <w:szCs w:val="20"/>
    </w:rPr>
  </w:style>
  <w:style w:type="paragraph" w:styleId="47">
    <w:name w:val="toc 4"/>
    <w:basedOn w:val="a"/>
    <w:next w:val="a"/>
    <w:autoRedefine/>
    <w:semiHidden/>
    <w:qFormat/>
    <w:rsid w:val="00F022FE"/>
    <w:pPr>
      <w:spacing w:after="0" w:line="240" w:lineRule="auto"/>
      <w:ind w:left="480"/>
    </w:pPr>
    <w:rPr>
      <w:rFonts w:ascii="Times New Roman" w:eastAsia="Times New Roman" w:hAnsi="Times New Roman" w:cs="Times New Roman"/>
      <w:sz w:val="20"/>
      <w:szCs w:val="20"/>
    </w:rPr>
  </w:style>
  <w:style w:type="paragraph" w:styleId="51">
    <w:name w:val="toc 5"/>
    <w:basedOn w:val="a"/>
    <w:next w:val="a"/>
    <w:autoRedefine/>
    <w:semiHidden/>
    <w:qFormat/>
    <w:rsid w:val="00F022FE"/>
    <w:pPr>
      <w:spacing w:after="0" w:line="240" w:lineRule="auto"/>
      <w:ind w:left="720"/>
    </w:pPr>
    <w:rPr>
      <w:rFonts w:ascii="Times New Roman" w:eastAsia="Times New Roman" w:hAnsi="Times New Roman" w:cs="Times New Roman"/>
      <w:sz w:val="20"/>
      <w:szCs w:val="20"/>
    </w:rPr>
  </w:style>
  <w:style w:type="table" w:styleId="1f1">
    <w:name w:val="Table Simple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f2">
    <w:name w:val="Table Grid 1"/>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affffd">
    <w:name w:val="Table Professional"/>
    <w:basedOn w:val="a1"/>
    <w:autoRedefine/>
    <w:qFormat/>
    <w:rsid w:val="00F022FE"/>
    <w:pPr>
      <w:spacing w:after="0" w:line="240" w:lineRule="auto"/>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1f3">
    <w:name w:val="Стандарт1"/>
    <w:basedOn w:val="1f1"/>
    <w:autoRedefine/>
    <w:qFormat/>
    <w:rsid w:val="00F022FE"/>
    <w:pPr>
      <w:ind w:firstLine="397"/>
      <w:jc w:val="both"/>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Arial" w:hAnsi="Arial"/>
        <w:i/>
        <w:sz w:val="20"/>
      </w:rPr>
      <w:tblPr/>
      <w:tcPr>
        <w:tcBorders>
          <w:bottom w:val="single" w:sz="6" w:space="0" w:color="auto"/>
          <w:tl2br w:val="nil"/>
          <w:tr2bl w:val="nil"/>
        </w:tcBorders>
        <w:shd w:val="clear" w:color="auto" w:fill="auto"/>
      </w:tcPr>
    </w:tblStylePr>
    <w:tblStylePr w:type="lastRow">
      <w:tblPr/>
      <w:tcPr>
        <w:tcBorders>
          <w:top w:val="nil"/>
          <w:tl2br w:val="nil"/>
          <w:tr2bl w:val="nil"/>
        </w:tcBorders>
        <w:shd w:val="clear" w:color="auto" w:fill="auto"/>
      </w:tcPr>
    </w:tblStylePr>
  </w:style>
  <w:style w:type="table" w:customStyle="1" w:styleId="242">
    <w:name w:val="Сетка таблицы242"/>
    <w:basedOn w:val="a1"/>
    <w:autoRedefine/>
    <w:uiPriority w:val="39"/>
    <w:qFormat/>
    <w:rsid w:val="00F022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етка таблицы1"/>
    <w:basedOn w:val="a1"/>
    <w:qFormat/>
    <w:rsid w:val="00F022FE"/>
    <w:pPr>
      <w:spacing w:after="0" w:line="240" w:lineRule="auto"/>
    </w:pPr>
    <w:rPr>
      <w:rFonts w:ascii="Times New Roman" w:eastAsiaTheme="minorHAnsi" w:hAnsi="Times New Roman" w:cs="Times New Roman"/>
      <w:kern w:val="2"/>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f5">
    <w:name w:val="Неразрешенное упоминание1"/>
    <w:basedOn w:val="a0"/>
    <w:uiPriority w:val="99"/>
    <w:semiHidden/>
    <w:unhideWhenUsed/>
    <w:qFormat/>
    <w:rsid w:val="00F022FE"/>
    <w:rPr>
      <w:color w:val="605E5C"/>
      <w:shd w:val="clear" w:color="auto" w:fill="E1DFDD"/>
    </w:rPr>
  </w:style>
  <w:style w:type="table" w:customStyle="1" w:styleId="190">
    <w:name w:val="Сетка таблицы19"/>
    <w:basedOn w:val="a1"/>
    <w:rsid w:val="00F022F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66574">
      <w:bodyDiv w:val="1"/>
      <w:marLeft w:val="0"/>
      <w:marRight w:val="0"/>
      <w:marTop w:val="0"/>
      <w:marBottom w:val="0"/>
      <w:divBdr>
        <w:top w:val="none" w:sz="0" w:space="0" w:color="auto"/>
        <w:left w:val="none" w:sz="0" w:space="0" w:color="auto"/>
        <w:bottom w:val="none" w:sz="0" w:space="0" w:color="auto"/>
        <w:right w:val="none" w:sz="0" w:space="0" w:color="auto"/>
      </w:divBdr>
    </w:div>
    <w:div w:id="810831661">
      <w:bodyDiv w:val="1"/>
      <w:marLeft w:val="0"/>
      <w:marRight w:val="0"/>
      <w:marTop w:val="0"/>
      <w:marBottom w:val="0"/>
      <w:divBdr>
        <w:top w:val="none" w:sz="0" w:space="0" w:color="auto"/>
        <w:left w:val="none" w:sz="0" w:space="0" w:color="auto"/>
        <w:bottom w:val="none" w:sz="0" w:space="0" w:color="auto"/>
        <w:right w:val="none" w:sz="0" w:space="0" w:color="auto"/>
      </w:divBdr>
    </w:div>
    <w:div w:id="1015109690">
      <w:bodyDiv w:val="1"/>
      <w:marLeft w:val="0"/>
      <w:marRight w:val="0"/>
      <w:marTop w:val="0"/>
      <w:marBottom w:val="0"/>
      <w:divBdr>
        <w:top w:val="none" w:sz="0" w:space="0" w:color="auto"/>
        <w:left w:val="none" w:sz="0" w:space="0" w:color="auto"/>
        <w:bottom w:val="none" w:sz="0" w:space="0" w:color="auto"/>
        <w:right w:val="none" w:sz="0" w:space="0" w:color="auto"/>
      </w:divBdr>
    </w:div>
    <w:div w:id="1368529037">
      <w:bodyDiv w:val="1"/>
      <w:marLeft w:val="0"/>
      <w:marRight w:val="0"/>
      <w:marTop w:val="0"/>
      <w:marBottom w:val="0"/>
      <w:divBdr>
        <w:top w:val="none" w:sz="0" w:space="0" w:color="auto"/>
        <w:left w:val="none" w:sz="0" w:space="0" w:color="auto"/>
        <w:bottom w:val="none" w:sz="0" w:space="0" w:color="auto"/>
        <w:right w:val="none" w:sz="0" w:space="0" w:color="auto"/>
      </w:divBdr>
    </w:div>
    <w:div w:id="1440880858">
      <w:bodyDiv w:val="1"/>
      <w:marLeft w:val="0"/>
      <w:marRight w:val="0"/>
      <w:marTop w:val="0"/>
      <w:marBottom w:val="0"/>
      <w:divBdr>
        <w:top w:val="none" w:sz="0" w:space="0" w:color="auto"/>
        <w:left w:val="none" w:sz="0" w:space="0" w:color="auto"/>
        <w:bottom w:val="none" w:sz="0" w:space="0" w:color="auto"/>
        <w:right w:val="none" w:sz="0" w:space="0" w:color="auto"/>
      </w:divBdr>
    </w:div>
    <w:div w:id="19329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laws.ru/Lesnoy-kodeks/Glava-2/Statya-29.1/" TargetMode="External"/><Relationship Id="rId18" Type="http://schemas.openxmlformats.org/officeDocument/2006/relationships/hyperlink" Target="http://www.consultant.ru/document/cons_doc_LAW_417875/368cb949273de5fecbcf2586fbf84ef05bd1a781/" TargetMode="External"/><Relationship Id="rId26" Type="http://schemas.openxmlformats.org/officeDocument/2006/relationships/hyperlink" Target="http://www.consultant.ru/document/cons_doc_LAW_394429/0c735f642dbe3fd44eee2498a12f91ceb020cec2/" TargetMode="External"/><Relationship Id="rId39" Type="http://schemas.openxmlformats.org/officeDocument/2006/relationships/hyperlink" Target="http://www.consultant.ru/document/cons_doc_LAW_403703/d97bb07b692a278d0ad5c79018009676439be914/" TargetMode="External"/><Relationship Id="rId21" Type="http://schemas.openxmlformats.org/officeDocument/2006/relationships/hyperlink" Target="http://www.consultant.ru/document/cons_doc_LAW_2875/7faf10d5db4889ccd421abd45b63fd2b43a3dea7/" TargetMode="External"/><Relationship Id="rId34" Type="http://schemas.openxmlformats.org/officeDocument/2006/relationships/hyperlink" Target="http://www.consultant.ru/document/cons_doc_LAW_343/906b3e51e3ca62c51d9ff5a89c2e5bfdcb1e581f/" TargetMode="External"/><Relationship Id="rId42" Type="http://schemas.openxmlformats.org/officeDocument/2006/relationships/hyperlink" Target="http://www.consultant.ru/document/cons_doc_LAW_153244/dbe322539f38de729637e8589f4f9319897c717e/" TargetMode="External"/><Relationship Id="rId47" Type="http://schemas.openxmlformats.org/officeDocument/2006/relationships/hyperlink" Target="http://www.consultant.ru/document/cons_doc_LAW_387521/d7534265d4db4bf38ebfb366c957ace0d90d049e/" TargetMode="External"/><Relationship Id="rId50" Type="http://schemas.openxmlformats.org/officeDocument/2006/relationships/hyperlink" Target="http://www.consultant.ru/document/cons_doc_LAW_387521/d7534265d4db4bf38ebfb366c957ace0d90d049e/" TargetMode="External"/><Relationship Id="rId55" Type="http://schemas.openxmlformats.org/officeDocument/2006/relationships/hyperlink" Target="https://docs.cntd.ru/document/1200108948"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consultant.ru/document/cons_doc_LAW_394431/7ac1eec2cbaafffb4f6953a27fc0bcceb851b017/" TargetMode="External"/><Relationship Id="rId29" Type="http://schemas.openxmlformats.org/officeDocument/2006/relationships/hyperlink" Target="https://www.consultant.ru/document/cons_doc_LAW_460012/b5e921edcf944df6151d02a32ddd7dc2864d8287/" TargetMode="External"/><Relationship Id="rId11" Type="http://schemas.openxmlformats.org/officeDocument/2006/relationships/hyperlink" Target="http://rulaws.ru/Lesnoy-kodeks/Glava-9/Statya-84/" TargetMode="External"/><Relationship Id="rId24" Type="http://schemas.openxmlformats.org/officeDocument/2006/relationships/hyperlink" Target="http://www.consultant.ru/document/cons_doc_LAW_394113/ee7af8f2c965ebfa961cd92f3446278b87d7678d/" TargetMode="External"/><Relationship Id="rId32" Type="http://schemas.openxmlformats.org/officeDocument/2006/relationships/hyperlink" Target="http://www.skonline.ru/ya2.php?text=&#1057;&#1053;&#1080;&#1055;+23-03-2003+&#1047;&#1072;&#1097;&#1080;&#1090;&#1072;+&#1086;&#1090;+&#1096;&#1091;&#1084;&#1072;" TargetMode="External"/><Relationship Id="rId37" Type="http://schemas.openxmlformats.org/officeDocument/2006/relationships/hyperlink" Target="http://www.consultant.ru/document/cons_doc_LAW_60683/4c65ff0f232195d8dccc08535d2c3923d5b67f1c/" TargetMode="External"/><Relationship Id="rId40" Type="http://schemas.openxmlformats.org/officeDocument/2006/relationships/hyperlink" Target="http://www.consultant.ru/document/cons_doc_LAW_399781/" TargetMode="External"/><Relationship Id="rId45" Type="http://schemas.openxmlformats.org/officeDocument/2006/relationships/hyperlink" Target="http://www.consultant.ru/document/cons_doc_LAW_416268/" TargetMode="External"/><Relationship Id="rId53" Type="http://schemas.openxmlformats.org/officeDocument/2006/relationships/hyperlink" Target="http://www.consultant.ru/document/cons_doc_LAW_416268/fe0cad704c69e3b97bf615f0437ecf1996a57677/" TargetMode="External"/><Relationship Id="rId58" Type="http://schemas.openxmlformats.org/officeDocument/2006/relationships/hyperlink" Target="https://docs.cntd.ru/document/565248963"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www.consultant.ru/document/cons_doc_LAW_417875/f44db008ca1cdc2e02c249d14495a6432902cfb0/" TargetMode="External"/><Relationship Id="rId14" Type="http://schemas.openxmlformats.org/officeDocument/2006/relationships/hyperlink" Target="http://rulaws.ru/acts/Prikaz-Minprirody-Rossii-ot-29.06.2016-N-375/" TargetMode="External"/><Relationship Id="rId22" Type="http://schemas.openxmlformats.org/officeDocument/2006/relationships/hyperlink" Target="http://www.consultant.ru/document/cons_doc_LAW_417875/ccff4260e7e0bd6e3797bee96043a4a2c3d49ae6/" TargetMode="External"/><Relationship Id="rId27" Type="http://schemas.openxmlformats.org/officeDocument/2006/relationships/hyperlink" Target="http://www.pskov.ru/vlast/ispolnitelnaya/organy-is/gkn" TargetMode="External"/><Relationship Id="rId30" Type="http://schemas.openxmlformats.org/officeDocument/2006/relationships/hyperlink" Target="https://www.consultant.ru/document/cons_doc_LAW_464879/" TargetMode="External"/><Relationship Id="rId35" Type="http://schemas.openxmlformats.org/officeDocument/2006/relationships/hyperlink" Target="http://www.consultant.ru/document/cons_doc_LAW_60683/4c65ff0f232195d8dccc08535d2c3923d5b67f1c/" TargetMode="External"/><Relationship Id="rId43" Type="http://schemas.openxmlformats.org/officeDocument/2006/relationships/hyperlink" Target="http://www.consultant.ru/document/cons_doc_LAW_416268/" TargetMode="External"/><Relationship Id="rId48" Type="http://schemas.openxmlformats.org/officeDocument/2006/relationships/hyperlink" Target="http://www.consultant.ru/document/cons_doc_LAW_416268/" TargetMode="External"/><Relationship Id="rId56" Type="http://schemas.openxmlformats.org/officeDocument/2006/relationships/hyperlink" Target="https://docs.cntd.ru/document/565248963" TargetMode="External"/><Relationship Id="rId8" Type="http://schemas.openxmlformats.org/officeDocument/2006/relationships/header" Target="header1.xml"/><Relationship Id="rId51" Type="http://schemas.openxmlformats.org/officeDocument/2006/relationships/hyperlink" Target="http://www.consultant.ru/document/cons_doc_LAW_307758/94a19c16794febad580f358b11fd503636d3f83c/" TargetMode="External"/><Relationship Id="rId3" Type="http://schemas.microsoft.com/office/2007/relationships/stylesWithEffects" Target="stylesWithEffects.xml"/><Relationship Id="rId12" Type="http://schemas.openxmlformats.org/officeDocument/2006/relationships/hyperlink" Target="http://rulaws.ru/Lesnoy-kodeks/Glava-2/Statya-29.1/" TargetMode="External"/><Relationship Id="rId17" Type="http://schemas.openxmlformats.org/officeDocument/2006/relationships/hyperlink" Target="http://www.consultant.ru/document/cons_doc_LAW_416268/f921e5aa5c2104126feadb368b498761ca9960f0/" TargetMode="External"/><Relationship Id="rId25" Type="http://schemas.openxmlformats.org/officeDocument/2006/relationships/hyperlink" Target="http://www.consultant.ru/document/cons_doc_LAW_417875/fd9fd68a79429c1f94faa356ae7d28a510fd9f5b/" TargetMode="External"/><Relationship Id="rId33" Type="http://schemas.openxmlformats.org/officeDocument/2006/relationships/hyperlink" Target="https://docs.cntd.ru/document/902145038" TargetMode="External"/><Relationship Id="rId38" Type="http://schemas.openxmlformats.org/officeDocument/2006/relationships/hyperlink" Target="http://www.consultant.ru/document/cons_doc_LAW_416268/f93a3f1431caac9ec65cfdbebf0e0f8295be7ea3/" TargetMode="External"/><Relationship Id="rId46" Type="http://schemas.openxmlformats.org/officeDocument/2006/relationships/hyperlink" Target="http://www.consultant.ru/document/cons_doc_LAW_387521/d7534265d4db4bf38ebfb366c957ace0d90d049e/" TargetMode="External"/><Relationship Id="rId59" Type="http://schemas.openxmlformats.org/officeDocument/2006/relationships/hyperlink" Target="https://docs.cntd.ru/document/1200108948" TargetMode="External"/><Relationship Id="rId20" Type="http://schemas.openxmlformats.org/officeDocument/2006/relationships/hyperlink" Target="http://www.consultant.ru/document/cons_doc_LAW_417875/05fb4d26ffb88ff035d920324f0638728fdb9ef9/" TargetMode="External"/><Relationship Id="rId41" Type="http://schemas.openxmlformats.org/officeDocument/2006/relationships/hyperlink" Target="http://www.consultant.ru/document/cons_doc_LAW_392816/6ae1f12433231797d3f327ff1e24edcd997a9607/" TargetMode="External"/><Relationship Id="rId54" Type="http://schemas.openxmlformats.org/officeDocument/2006/relationships/hyperlink" Target="http://www.consultant.ru/document/cons_doc_LAW_72386/"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rulaws.ru/acts/Prikaz-Minprirody-Rossii-ot-29.06.2016-N-375/" TargetMode="External"/><Relationship Id="rId23" Type="http://schemas.openxmlformats.org/officeDocument/2006/relationships/hyperlink" Target="http://www.consultant.ru/document/cons_doc_LAW_33773/2d1a362310e243e9204a1da5833a5f0b5ba327b6/" TargetMode="External"/><Relationship Id="rId28" Type="http://schemas.openxmlformats.org/officeDocument/2006/relationships/hyperlink" Target="https://www.consultant.ru/document/cons_doc_LAW_37318/" TargetMode="External"/><Relationship Id="rId36" Type="http://schemas.openxmlformats.org/officeDocument/2006/relationships/hyperlink" Target="http://www.consultant.ru/document/cons_doc_LAW_60683/4c65ff0f232195d8dccc08535d2c3923d5b67f1c/" TargetMode="External"/><Relationship Id="rId49" Type="http://schemas.openxmlformats.org/officeDocument/2006/relationships/hyperlink" Target="http://www.consultant.ru/document/cons_doc_LAW_387521/d7534265d4db4bf38ebfb366c957ace0d90d049e/" TargetMode="External"/><Relationship Id="rId57" Type="http://schemas.openxmlformats.org/officeDocument/2006/relationships/hyperlink" Target="https://docs.cntd.ru/document/565248963" TargetMode="External"/><Relationship Id="rId10" Type="http://schemas.openxmlformats.org/officeDocument/2006/relationships/hyperlink" Target="https://ru.wikipedia.org/wiki/&#1071;&#1089;&#1077;&#1085;&#1100;_(&#1086;&#1079;&#1077;&#1088;&#1086;)" TargetMode="External"/><Relationship Id="rId31" Type="http://schemas.openxmlformats.org/officeDocument/2006/relationships/hyperlink" Target="http://www.skonline.ru/ya2.php?text=&#1043;&#1054;&#1057;&#1058;+22283-88+&#1064;&#1091;&#1084;+&#1072;&#1074;&#1080;&#1072;&#1094;&#1080;&#1086;&#1085;&#1085;&#1099;&#1081;.+&#1044;&#1086;&#1087;&#1091;&#1089;&#1090;&#1080;&#1084;&#1099;&#1077;+&#1091;&#1088;&#1086;&#1074;&#1085;&#1080;+&#1096;&#1091;&#1084;&#1072;+&#1085;&#1072;+&#1090;&#1077;&#1088;&#1088;&#1080;&#1090;&#1086;&#1088;&#1080;&#1080;+&#1078;&#1080;&#1083;&#1086;&#1081;+&#1079;&#1072;&#1089;&#1090;&#1088;&#1086;&#1081;&#1082;&#1080;+&#1080;+&#1084;&#1077;&#1090;&#1086;&#1076;&#1099;+&#1077;&#1075;&#1086;+&#1080;&#1079;&#1084;&#1077;&#1088;&#1077;&#1085;&#1080;&#1103;" TargetMode="External"/><Relationship Id="rId44" Type="http://schemas.openxmlformats.org/officeDocument/2006/relationships/hyperlink" Target="http://www.consultant.ru/document/cons_doc_LAW_416268/" TargetMode="External"/><Relationship Id="rId52" Type="http://schemas.openxmlformats.org/officeDocument/2006/relationships/hyperlink" Target="http://www.consultant.ru/document/cons_doc_LAW_416268/fe0cad704c69e3b97bf615f0437ecf1996a57677/" TargetMode="External"/><Relationship Id="rId60" Type="http://schemas.openxmlformats.org/officeDocument/2006/relationships/hyperlink" Target="https://xn--h1ajim.xn--p1ai/%D0%90%D0%B3%D0%B0%D1%84%D0%BE%D0%BD%D0%BE%D0%B2%D0%BE_(%D0%9D%D0%BE%D0%B2%D0%BE%D1%80%D0%B6%D0%B5%D0%B2%D1%81%D0%BA%D0%B8%D0%B9_%D1%80%D0%B0%D0%B9%D0%BE%D0%BD)" TargetMode="External"/><Relationship Id="rId4" Type="http://schemas.openxmlformats.org/officeDocument/2006/relationships/settings" Target="settings.xml"/><Relationship Id="rId9" Type="http://schemas.openxmlformats.org/officeDocument/2006/relationships/hyperlink" Target="https://ru.wikipedia.org/wiki/&#1055;&#1086;&#1089;&#1072;&#1076;&#1085;&#1080;&#1082;&#1086;&#1074;&#1089;&#1082;&#1086;&#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78290</Words>
  <Characters>446253</Characters>
  <Application>Microsoft Office Word</Application>
  <DocSecurity>0</DocSecurity>
  <Lines>3718</Lines>
  <Paragraphs>1046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ае</dc:creator>
  <cp:lastModifiedBy>Васильева</cp:lastModifiedBy>
  <cp:revision>37</cp:revision>
  <cp:lastPrinted>2025-12-22T14:09:00Z</cp:lastPrinted>
  <dcterms:created xsi:type="dcterms:W3CDTF">2025-08-07T07:22:00Z</dcterms:created>
  <dcterms:modified xsi:type="dcterms:W3CDTF">2025-12-22T14:10:00Z</dcterms:modified>
</cp:coreProperties>
</file>